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215F4" w14:textId="70691CE8" w:rsidR="001E7C2A" w:rsidRDefault="000F110D" w:rsidP="002755F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F110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1E7C2A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0F110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E7C2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F110D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E7C2A">
        <w:rPr>
          <w:rFonts w:ascii="Times New Roman" w:hAnsi="Times New Roman" w:cs="Times New Roman"/>
          <w:sz w:val="28"/>
          <w:szCs w:val="28"/>
          <w:lang w:val="uk-UA"/>
        </w:rPr>
        <w:t>ПОЯСНЮВАЛЬНА ЗАПИСКА</w:t>
      </w:r>
    </w:p>
    <w:p w14:paraId="7A072DEA" w14:textId="35367DE9" w:rsidR="000F110D" w:rsidRPr="000F110D" w:rsidRDefault="001E7C2A" w:rsidP="002755F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0F110D" w:rsidRPr="000F110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</w:p>
    <w:p w14:paraId="79842AB7" w14:textId="7EAF6A8D" w:rsidR="000F110D" w:rsidRPr="001E7C2A" w:rsidRDefault="000F110D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755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755F5" w:rsidRPr="002755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="001E7C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2755F5" w:rsidRPr="002755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1E7C2A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2755F5" w:rsidRPr="001E7C2A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Pr="001E7C2A">
        <w:rPr>
          <w:rFonts w:ascii="Times New Roman" w:hAnsi="Times New Roman" w:cs="Times New Roman"/>
          <w:bCs/>
          <w:sz w:val="28"/>
          <w:szCs w:val="28"/>
          <w:lang w:val="uk-UA"/>
        </w:rPr>
        <w:t>ик</w:t>
      </w:r>
      <w:r w:rsidR="00C46503" w:rsidRPr="001E7C2A">
        <w:rPr>
          <w:rFonts w:ascii="Times New Roman" w:hAnsi="Times New Roman" w:cs="Times New Roman"/>
          <w:bCs/>
          <w:sz w:val="28"/>
          <w:szCs w:val="28"/>
          <w:lang w:val="uk-UA"/>
        </w:rPr>
        <w:t>онання селищного бюджету</w:t>
      </w:r>
      <w:r w:rsidR="0068717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 2023 рік</w:t>
      </w:r>
      <w:r w:rsidR="001E7C2A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</w:p>
    <w:p w14:paraId="417BCE80" w14:textId="33454375" w:rsidR="002755F5" w:rsidRDefault="002755F5" w:rsidP="008075A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</w:t>
      </w:r>
      <w:r w:rsidRPr="002755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202</w:t>
      </w:r>
      <w:r w:rsidR="00936547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рік з врахуванням між бюджетних трансфертів до  бюджету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Савранської селищної ради 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надійшло коштів в сумі </w:t>
      </w:r>
      <w:r w:rsidR="00936547">
        <w:rPr>
          <w:rFonts w:ascii="Times New Roman" w:hAnsi="Times New Roman" w:cs="Times New Roman"/>
          <w:color w:val="000000"/>
          <w:sz w:val="28"/>
          <w:szCs w:val="28"/>
        </w:rPr>
        <w:t>206841,7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тис. грн., план виконано на 10</w:t>
      </w:r>
      <w:r w:rsidR="00936547">
        <w:rPr>
          <w:rFonts w:ascii="Times New Roman" w:hAnsi="Times New Roman" w:cs="Times New Roman"/>
          <w:color w:val="000000"/>
          <w:sz w:val="28"/>
          <w:szCs w:val="28"/>
        </w:rPr>
        <w:t>0,1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%.</w:t>
      </w:r>
    </w:p>
    <w:p w14:paraId="0339A9F3" w14:textId="56398137" w:rsidR="003256CE" w:rsidRDefault="003256CE" w:rsidP="008075A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2023 році збільшено планові призначення доходної частини селищного бюджету в сумі 21341,3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,. в тому числі 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>податку на доходи фізичних осіб  з грошового забезпечення , грошових винагород та інших виплат, одержаних військовослужбовцями та особами рядового і нач</w:t>
      </w:r>
      <w:r>
        <w:rPr>
          <w:rFonts w:ascii="Times New Roman" w:hAnsi="Times New Roman" w:cs="Times New Roman"/>
          <w:sz w:val="28"/>
          <w:szCs w:val="28"/>
          <w:lang w:val="uk-UA"/>
        </w:rPr>
        <w:t>альницького складу в сумі 13534,8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755F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95E3BD9" w14:textId="698E01FB" w:rsidR="002755F5" w:rsidRDefault="002755F5" w:rsidP="008075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 загальному фонду планові призначення виконано на 10</w:t>
      </w:r>
      <w:r w:rsidR="00936547">
        <w:rPr>
          <w:rFonts w:ascii="Times New Roman" w:hAnsi="Times New Roman" w:cs="Times New Roman"/>
          <w:color w:val="000000"/>
          <w:sz w:val="28"/>
          <w:szCs w:val="28"/>
        </w:rPr>
        <w:t>3,6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% надходження складають  1</w:t>
      </w:r>
      <w:r w:rsidR="00936547">
        <w:rPr>
          <w:rFonts w:ascii="Times New Roman" w:hAnsi="Times New Roman" w:cs="Times New Roman"/>
          <w:color w:val="000000"/>
          <w:sz w:val="28"/>
          <w:szCs w:val="28"/>
        </w:rPr>
        <w:t>97162,5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по спеціальному фонду на </w:t>
      </w:r>
      <w:r w:rsidR="00936547">
        <w:rPr>
          <w:rFonts w:ascii="Times New Roman" w:hAnsi="Times New Roman" w:cs="Times New Roman"/>
          <w:color w:val="000000"/>
          <w:sz w:val="28"/>
          <w:szCs w:val="28"/>
        </w:rPr>
        <w:t>86,9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% надходження становлять </w:t>
      </w:r>
      <w:r w:rsidR="00936547">
        <w:rPr>
          <w:rFonts w:ascii="Times New Roman" w:hAnsi="Times New Roman" w:cs="Times New Roman"/>
          <w:color w:val="000000"/>
          <w:sz w:val="28"/>
          <w:szCs w:val="28"/>
        </w:rPr>
        <w:t>9679,2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6298B229" w14:textId="44FB9BCD" w:rsidR="000F110D" w:rsidRPr="002755F5" w:rsidRDefault="002755F5" w:rsidP="008075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Власних коштів надійшло</w:t>
      </w:r>
      <w:r w:rsidR="002F2A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7B39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в сумі </w:t>
      </w:r>
      <w:r w:rsidR="00936547">
        <w:rPr>
          <w:rFonts w:ascii="Times New Roman" w:hAnsi="Times New Roman" w:cs="Times New Roman"/>
          <w:sz w:val="28"/>
          <w:szCs w:val="28"/>
          <w:lang w:val="uk-UA"/>
        </w:rPr>
        <w:t>109213,9</w:t>
      </w:r>
      <w:r w:rsidR="00337B39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тис. грн., 10</w:t>
      </w:r>
      <w:r w:rsidR="00936547">
        <w:rPr>
          <w:rFonts w:ascii="Times New Roman" w:hAnsi="Times New Roman" w:cs="Times New Roman"/>
          <w:sz w:val="28"/>
          <w:szCs w:val="28"/>
          <w:lang w:val="uk-UA"/>
        </w:rPr>
        <w:t>6,7</w:t>
      </w:r>
      <w:r w:rsidR="00337B39" w:rsidRPr="002755F5">
        <w:rPr>
          <w:rFonts w:ascii="Times New Roman" w:hAnsi="Times New Roman" w:cs="Times New Roman"/>
          <w:sz w:val="28"/>
          <w:szCs w:val="28"/>
          <w:lang w:val="uk-UA"/>
        </w:rPr>
        <w:t>% до плану надходжень.</w:t>
      </w:r>
      <w:r w:rsidR="00936547">
        <w:rPr>
          <w:rFonts w:ascii="Times New Roman" w:hAnsi="Times New Roman" w:cs="Times New Roman"/>
          <w:sz w:val="28"/>
          <w:szCs w:val="28"/>
          <w:lang w:val="uk-UA"/>
        </w:rPr>
        <w:t xml:space="preserve"> Додатково надійшло 6889,7</w:t>
      </w:r>
      <w:r w:rsidR="00732572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14:paraId="004128C5" w14:textId="7641F70C" w:rsidR="002755F5" w:rsidRPr="002755F5" w:rsidRDefault="002755F5" w:rsidP="008075A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Субвенці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ї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державног</w:t>
      </w:r>
      <w:r w:rsidR="00936547">
        <w:rPr>
          <w:rFonts w:ascii="Times New Roman" w:hAnsi="Times New Roman" w:cs="Times New Roman"/>
          <w:color w:val="000000"/>
          <w:sz w:val="28"/>
          <w:szCs w:val="28"/>
          <w:lang w:val="uk-UA"/>
        </w:rPr>
        <w:t>о бюджету надійшли 100% в сумі 49453,8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5EC5B966" w14:textId="4D9A9B7E" w:rsidR="002755F5" w:rsidRPr="002755F5" w:rsidRDefault="008075A8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Базова дотація  з державного бюджету надійшла </w:t>
      </w:r>
      <w:r w:rsidR="002755F5">
        <w:rPr>
          <w:rFonts w:ascii="Times New Roman" w:hAnsi="Times New Roman" w:cs="Times New Roman"/>
          <w:sz w:val="28"/>
          <w:szCs w:val="28"/>
          <w:lang w:val="uk-UA"/>
        </w:rPr>
        <w:t>100  %</w:t>
      </w:r>
      <w:r w:rsidR="00936547">
        <w:rPr>
          <w:rFonts w:ascii="Times New Roman" w:hAnsi="Times New Roman" w:cs="Times New Roman"/>
          <w:sz w:val="28"/>
          <w:szCs w:val="28"/>
          <w:lang w:val="uk-UA"/>
        </w:rPr>
        <w:t xml:space="preserve"> ,  в сумі 37106,2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26661DC" w14:textId="3F98910B" w:rsidR="002755F5" w:rsidRPr="002755F5" w:rsidRDefault="008075A8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936547">
        <w:rPr>
          <w:rFonts w:ascii="Times New Roman" w:hAnsi="Times New Roman" w:cs="Times New Roman"/>
          <w:sz w:val="28"/>
          <w:szCs w:val="28"/>
          <w:lang w:val="uk-UA"/>
        </w:rPr>
        <w:t>В структурі доходів 206841,7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 складається :</w:t>
      </w:r>
    </w:p>
    <w:p w14:paraId="0CC51B0D" w14:textId="1E081AAE" w:rsidR="002755F5" w:rsidRPr="002755F5" w:rsidRDefault="00936547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разом доходів  118703,5тис.грн. (57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,4%)</w:t>
      </w:r>
    </w:p>
    <w:p w14:paraId="00AB8B4E" w14:textId="37F43F35" w:rsidR="002755F5" w:rsidRPr="002755F5" w:rsidRDefault="00936547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базова дотація 37106,2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(17,9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%)</w:t>
      </w:r>
    </w:p>
    <w:p w14:paraId="098ACF69" w14:textId="66D15F8E" w:rsidR="002755F5" w:rsidRDefault="00936547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субвенції 51032,0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.(24,7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%)</w:t>
      </w:r>
    </w:p>
    <w:p w14:paraId="57BF4BE4" w14:textId="445B2DA6" w:rsidR="002755F5" w:rsidRPr="002755F5" w:rsidRDefault="00D056E2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8075A8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В розрізі видів податків :</w:t>
      </w:r>
    </w:p>
    <w:p w14:paraId="67893CE8" w14:textId="59E1AB04" w:rsidR="002755F5" w:rsidRDefault="008075A8" w:rsidP="008075A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Основним показником загального фонду є податок з доходів</w:t>
      </w:r>
      <w:r w:rsidR="00936547">
        <w:rPr>
          <w:rFonts w:ascii="Times New Roman" w:hAnsi="Times New Roman" w:cs="Times New Roman"/>
          <w:sz w:val="28"/>
          <w:szCs w:val="28"/>
          <w:lang w:val="uk-UA"/>
        </w:rPr>
        <w:t xml:space="preserve"> фізичних осіб, який займає 52,2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% в загальному обсязі власних надходжень. Надходження п</w:t>
      </w:r>
      <w:r w:rsidR="002755F5"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одатку та збору на доходи</w:t>
      </w:r>
      <w:r w:rsidR="009365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фізичних осіб  складають 61940,4 тис. грн. при плані 58284,8 тис. грн., що становить 106,3</w:t>
      </w:r>
      <w:r w:rsidR="002755F5"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%.</w:t>
      </w:r>
    </w:p>
    <w:p w14:paraId="0ADC835D" w14:textId="55303418" w:rsidR="002755F5" w:rsidRPr="002755F5" w:rsidRDefault="008075A8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Основними факторами, що вплинули на  збільшення надходжень податку на доходи фізичних осіб  є надходження з грошового забезпечення , грошових винагород та інших виплат, одержаних військовослужбовцями та особами рядового і нач</w:t>
      </w:r>
      <w:r w:rsidR="00936547">
        <w:rPr>
          <w:rFonts w:ascii="Times New Roman" w:hAnsi="Times New Roman" w:cs="Times New Roman"/>
          <w:sz w:val="28"/>
          <w:szCs w:val="28"/>
          <w:lang w:val="uk-UA"/>
        </w:rPr>
        <w:t>альницького складу в сумі 19789,7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B8D4E74" w14:textId="57FC7C32" w:rsidR="002755F5" w:rsidRPr="002755F5" w:rsidRDefault="008075A8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 w:eastAsia="uk-UA"/>
        </w:rPr>
        <w:t>Другим за вагомістю показником надходжень  є</w:t>
      </w:r>
      <w:r w:rsidR="00997D8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єдиний податок, який займає 20,7</w:t>
      </w:r>
      <w:r w:rsidR="00997D88" w:rsidRPr="002755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2755F5" w:rsidRPr="002755F5">
        <w:rPr>
          <w:rFonts w:ascii="Times New Roman" w:hAnsi="Times New Roman" w:cs="Times New Roman"/>
          <w:sz w:val="28"/>
          <w:szCs w:val="28"/>
          <w:lang w:val="uk-UA" w:eastAsia="uk-UA"/>
        </w:rPr>
        <w:t>% в загальному обсязі власних надходжень.</w:t>
      </w:r>
      <w:r w:rsidR="002755F5" w:rsidRPr="002755F5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936547">
        <w:rPr>
          <w:rFonts w:ascii="Times New Roman" w:hAnsi="Times New Roman" w:cs="Times New Roman"/>
          <w:sz w:val="28"/>
          <w:szCs w:val="28"/>
          <w:lang w:val="uk-UA" w:eastAsia="uk-UA"/>
        </w:rPr>
        <w:t>Єдиний податок  виконано на 111,0</w:t>
      </w:r>
      <w:r w:rsidR="002755F5" w:rsidRPr="002755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%, надходження  складають </w:t>
      </w:r>
      <w:r w:rsidR="0093654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24545,4 </w:t>
      </w:r>
      <w:proofErr w:type="spellStart"/>
      <w:r w:rsidR="00936547">
        <w:rPr>
          <w:rFonts w:ascii="Times New Roman" w:hAnsi="Times New Roman" w:cs="Times New Roman"/>
          <w:sz w:val="28"/>
          <w:szCs w:val="28"/>
          <w:lang w:val="uk-UA" w:eastAsia="uk-UA"/>
        </w:rPr>
        <w:t>тис.грн</w:t>
      </w:r>
      <w:proofErr w:type="spellEnd"/>
      <w:r w:rsidR="00936547">
        <w:rPr>
          <w:rFonts w:ascii="Times New Roman" w:hAnsi="Times New Roman" w:cs="Times New Roman"/>
          <w:sz w:val="28"/>
          <w:szCs w:val="28"/>
          <w:lang w:val="uk-UA" w:eastAsia="uk-UA"/>
        </w:rPr>
        <w:t>., при плані 22111,7</w:t>
      </w:r>
      <w:r w:rsidR="002755F5" w:rsidRPr="002755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 w:eastAsia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14:paraId="7707AFCC" w14:textId="5FDFFF7B" w:rsidR="002755F5" w:rsidRDefault="008075A8" w:rsidP="008075A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 w:eastAsia="uk-UA"/>
        </w:rPr>
        <w:t>На надходже</w:t>
      </w:r>
      <w:r w:rsidR="002F2A4C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2755F5" w:rsidRPr="002755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ня даного податку вплинув </w:t>
      </w:r>
      <w:r w:rsidR="002755F5" w:rsidRPr="002755F5">
        <w:rPr>
          <w:rFonts w:ascii="Times New Roman" w:hAnsi="Times New Roman" w:cs="Times New Roman"/>
          <w:color w:val="2F2F2F"/>
          <w:sz w:val="28"/>
          <w:szCs w:val="28"/>
          <w:shd w:val="clear" w:color="auto" w:fill="FFFFFF"/>
          <w:lang w:val="uk-UA"/>
        </w:rPr>
        <w:t>Закон України</w:t>
      </w:r>
      <w:r w:rsidR="003F54EE">
        <w:rPr>
          <w:rFonts w:ascii="Times New Roman" w:hAnsi="Times New Roman" w:cs="Times New Roman"/>
          <w:color w:val="2F2F2F"/>
          <w:sz w:val="28"/>
          <w:szCs w:val="28"/>
          <w:shd w:val="clear" w:color="auto" w:fill="FFFFFF"/>
          <w:lang w:val="uk-UA"/>
        </w:rPr>
        <w:t xml:space="preserve"> </w:t>
      </w:r>
      <w:r w:rsidR="003F54EE" w:rsidRPr="003F54EE">
        <w:rPr>
          <w:rStyle w:val="a5"/>
          <w:rFonts w:ascii="e-ukraine" w:hAnsi="e-ukraine"/>
          <w:color w:val="000000"/>
          <w:lang w:val="uk-UA"/>
        </w:rPr>
        <w:t xml:space="preserve"> </w:t>
      </w:r>
      <w:r w:rsidR="003F54EE" w:rsidRPr="003F54EE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від 30 листопада 2021 року № 1914 «Про внесення змін до Податкового кодексу України та інших законодавчих актів України щодо забезпечення збалансованості бюджетних надходжень</w:t>
      </w:r>
      <w:r w:rsidR="003F54EE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»</w:t>
      </w:r>
      <w:r w:rsidR="005438E7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,</w:t>
      </w:r>
      <w:r w:rsidR="005438E7" w:rsidRPr="005438E7">
        <w:rPr>
          <w:b/>
          <w:color w:val="000000"/>
          <w:sz w:val="28"/>
          <w:szCs w:val="28"/>
          <w:lang w:val="uk-UA"/>
        </w:rPr>
        <w:t xml:space="preserve"> </w:t>
      </w:r>
      <w:r w:rsidR="005438E7" w:rsidRPr="005438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якими передбачено впровадження </w:t>
      </w:r>
      <w:r w:rsidR="005438E7" w:rsidRPr="005438E7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для фізичних осіб (крім фізичних осіб – підприємців) – власників, орендарів, користувачів на інших умовах земельних ділянок, віднесених до сільськогосподарських угідь, не переданих такими особами в оренду (суборенду), </w:t>
      </w:r>
      <w:r w:rsidR="005438E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сплати</w:t>
      </w:r>
      <w:r w:rsidR="005438E7" w:rsidRPr="005438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загального мінімального податкового зобов’язання</w:t>
      </w:r>
      <w:r w:rsidR="005438E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088ED34F" w14:textId="75C7AEF2" w:rsidR="0085629E" w:rsidRDefault="005438E7" w:rsidP="008075A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Мінімальне податкове зобов’язання </w:t>
      </w:r>
      <w:r w:rsidR="008562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2023 році надійшло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</w:t>
      </w:r>
      <w:r w:rsidR="00A56F4C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14:paraId="50678D6A" w14:textId="269D35A8" w:rsidR="005438E7" w:rsidRPr="0024690D" w:rsidRDefault="005438E7" w:rsidP="008075A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єдиному податку з фізич</w:t>
      </w:r>
      <w:r w:rsidR="0085629E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них осіб надійшло 862,6 </w:t>
      </w:r>
      <w:proofErr w:type="spellStart"/>
      <w:r w:rsidR="0085629E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 w:rsidR="0085629E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14:paraId="089C2E39" w14:textId="3BD57C1C" w:rsidR="0085629E" w:rsidRPr="0024690D" w:rsidRDefault="0085629E" w:rsidP="008075A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єдиному податку з сільськогосподарських товаровиробників </w:t>
      </w:r>
      <w:r w:rsidR="00140472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6852,7 </w:t>
      </w:r>
      <w:proofErr w:type="spellStart"/>
      <w:r w:rsidR="00140472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 w:rsidR="00140472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35520CC3" w14:textId="6AEDBC23" w:rsidR="00A44399" w:rsidRPr="0024690D" w:rsidRDefault="008A47BC" w:rsidP="008075A8">
      <w:pPr>
        <w:spacing w:after="0"/>
        <w:ind w:left="63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Третім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вагомістю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показником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є плата за землю, яка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займає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</w:t>
      </w:r>
      <w:r w:rsidR="0085629E" w:rsidRPr="0024690D">
        <w:rPr>
          <w:rFonts w:ascii="Times New Roman" w:hAnsi="Times New Roman" w:cs="Times New Roman"/>
          <w:sz w:val="28"/>
          <w:szCs w:val="28"/>
          <w:lang w:val="uk-UA"/>
        </w:rPr>
        <w:t>13,6</w:t>
      </w:r>
      <w:r w:rsidR="002755F5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55F5" w:rsidRPr="0024690D">
        <w:rPr>
          <w:rFonts w:ascii="Times New Roman" w:hAnsi="Times New Roman" w:cs="Times New Roman"/>
          <w:sz w:val="28"/>
          <w:szCs w:val="28"/>
        </w:rPr>
        <w:t xml:space="preserve">% в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загальному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обсязі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власних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>.</w:t>
      </w:r>
      <w:r w:rsidR="002755F5" w:rsidRPr="0024690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2755F5" w:rsidRPr="0024690D">
        <w:rPr>
          <w:rFonts w:ascii="Times New Roman" w:hAnsi="Times New Roman" w:cs="Times New Roman"/>
          <w:color w:val="000000"/>
          <w:sz w:val="28"/>
          <w:szCs w:val="28"/>
        </w:rPr>
        <w:t>Надходження</w:t>
      </w:r>
      <w:proofErr w:type="spellEnd"/>
      <w:r w:rsidR="002755F5" w:rsidRPr="002469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755F5" w:rsidRPr="0024690D">
        <w:rPr>
          <w:rFonts w:ascii="Times New Roman" w:hAnsi="Times New Roman" w:cs="Times New Roman"/>
          <w:color w:val="000000"/>
          <w:sz w:val="28"/>
          <w:szCs w:val="28"/>
        </w:rPr>
        <w:t>складають</w:t>
      </w:r>
      <w:proofErr w:type="spellEnd"/>
      <w:r w:rsidR="002755F5" w:rsidRPr="002469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629E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16207,7</w:t>
      </w:r>
      <w:r w:rsidR="00140472" w:rsidRPr="0024690D">
        <w:rPr>
          <w:rFonts w:ascii="Times New Roman" w:hAnsi="Times New Roman" w:cs="Times New Roman"/>
          <w:color w:val="000000"/>
          <w:sz w:val="28"/>
          <w:szCs w:val="28"/>
        </w:rPr>
        <w:t xml:space="preserve"> тис. грн. при </w:t>
      </w:r>
      <w:proofErr w:type="spellStart"/>
      <w:r w:rsidR="00140472" w:rsidRPr="0024690D">
        <w:rPr>
          <w:rFonts w:ascii="Times New Roman" w:hAnsi="Times New Roman" w:cs="Times New Roman"/>
          <w:color w:val="000000"/>
          <w:sz w:val="28"/>
          <w:szCs w:val="28"/>
        </w:rPr>
        <w:t>планових</w:t>
      </w:r>
      <w:proofErr w:type="spellEnd"/>
      <w:r w:rsidR="00140472" w:rsidRPr="002469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40472" w:rsidRPr="0024690D">
        <w:rPr>
          <w:rFonts w:ascii="Times New Roman" w:hAnsi="Times New Roman" w:cs="Times New Roman"/>
          <w:color w:val="000000"/>
          <w:sz w:val="28"/>
          <w:szCs w:val="28"/>
        </w:rPr>
        <w:t>призначен</w:t>
      </w:r>
      <w:proofErr w:type="spellEnd"/>
      <w:r w:rsidR="007F40D6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proofErr w:type="spellStart"/>
      <w:r w:rsidR="00140472" w:rsidRPr="0024690D">
        <w:rPr>
          <w:rFonts w:ascii="Times New Roman" w:hAnsi="Times New Roman" w:cs="Times New Roman"/>
          <w:color w:val="000000"/>
          <w:sz w:val="28"/>
          <w:szCs w:val="28"/>
        </w:rPr>
        <w:t>ях</w:t>
      </w:r>
      <w:proofErr w:type="spellEnd"/>
      <w:r w:rsidR="002755F5" w:rsidRPr="002469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629E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16230,00</w:t>
      </w:r>
      <w:r w:rsidR="002755F5" w:rsidRPr="0024690D">
        <w:rPr>
          <w:rFonts w:ascii="Times New Roman" w:hAnsi="Times New Roman" w:cs="Times New Roman"/>
          <w:color w:val="000000"/>
          <w:sz w:val="28"/>
          <w:szCs w:val="28"/>
        </w:rPr>
        <w:t xml:space="preserve"> тис. грн., </w:t>
      </w:r>
      <w:proofErr w:type="spellStart"/>
      <w:r w:rsidR="002755F5" w:rsidRPr="0024690D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="002755F5" w:rsidRPr="0024690D">
        <w:rPr>
          <w:rFonts w:ascii="Times New Roman" w:hAnsi="Times New Roman" w:cs="Times New Roman"/>
          <w:color w:val="000000"/>
          <w:sz w:val="28"/>
          <w:szCs w:val="28"/>
        </w:rPr>
        <w:t xml:space="preserve"> становить </w:t>
      </w:r>
      <w:r w:rsidR="0085629E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99,8</w:t>
      </w:r>
      <w:r w:rsidR="002755F5" w:rsidRPr="002469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550D" w:rsidRPr="0024690D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14:paraId="754C0089" w14:textId="12FBBD86" w:rsidR="008D38F7" w:rsidRPr="0024690D" w:rsidRDefault="00A56F4C" w:rsidP="008075A8">
      <w:pPr>
        <w:spacing w:after="0"/>
        <w:ind w:left="63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44399" w:rsidRPr="0024690D">
        <w:rPr>
          <w:rFonts w:ascii="Times New Roman" w:hAnsi="Times New Roman" w:cs="Times New Roman"/>
          <w:sz w:val="28"/>
          <w:szCs w:val="28"/>
          <w:lang w:val="uk-UA"/>
        </w:rPr>
        <w:t>План виконано лише по надходженн</w:t>
      </w:r>
      <w:r w:rsidR="0085629E" w:rsidRPr="0024690D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1C08F7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орендної плати </w:t>
      </w:r>
      <w:r w:rsidR="0085629E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з фізичних осіб 118,3%</w:t>
      </w:r>
      <w:r w:rsidR="001C08F7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в сумі 3491,0</w:t>
      </w:r>
      <w:r w:rsidR="006A461E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461E" w:rsidRPr="0024690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8D38F7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C08F7" w:rsidRPr="0024690D"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 w:rsidR="00D52356">
        <w:rPr>
          <w:rFonts w:ascii="Times New Roman" w:hAnsi="Times New Roman" w:cs="Times New Roman"/>
          <w:sz w:val="28"/>
          <w:szCs w:val="28"/>
          <w:lang w:val="uk-UA"/>
        </w:rPr>
        <w:t xml:space="preserve">ові надходження 541,0 </w:t>
      </w:r>
      <w:proofErr w:type="spellStart"/>
      <w:r w:rsidR="00D52356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D52356"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="001C08F7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а рахунок </w:t>
      </w:r>
      <w:r w:rsidR="001C08F7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</w:t>
      </w:r>
      <w:r w:rsidR="00D52356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ених земельних торгів передано три земельні ділянки</w:t>
      </w:r>
      <w:r w:rsidR="001C08F7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сільськогосподарського призначення комунальної власності у </w:t>
      </w:r>
      <w:r w:rsidR="0024690D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користування на умовах оренди</w:t>
      </w:r>
      <w:r w:rsidR="00D52356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1C08F7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</w:t>
      </w:r>
      <w:r w:rsidR="0024690D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ійшло</w:t>
      </w:r>
      <w:r w:rsidR="001C08F7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52356" w:rsidRPr="00D52356">
        <w:rPr>
          <w:rFonts w:ascii="Times New Roman" w:hAnsi="Times New Roman" w:cs="Times New Roman"/>
          <w:color w:val="000000"/>
          <w:sz w:val="28"/>
          <w:szCs w:val="28"/>
          <w:lang w:val="uk-UA"/>
        </w:rPr>
        <w:t>9</w:t>
      </w:r>
      <w:r w:rsidR="006921F2">
        <w:rPr>
          <w:rFonts w:ascii="Times New Roman" w:hAnsi="Times New Roman" w:cs="Times New Roman"/>
          <w:color w:val="000000"/>
          <w:sz w:val="28"/>
          <w:szCs w:val="28"/>
          <w:lang w:val="uk-UA"/>
        </w:rPr>
        <w:t>42,65</w:t>
      </w:r>
      <w:r w:rsidR="001C08F7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C08F7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</w:t>
      </w:r>
      <w:r w:rsidR="0024690D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рн</w:t>
      </w:r>
      <w:proofErr w:type="spellEnd"/>
      <w:r w:rsidR="0024690D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27B0247B" w14:textId="0292782B" w:rsidR="00140472" w:rsidRPr="0024690D" w:rsidRDefault="00A56F4C" w:rsidP="008075A8">
      <w:pPr>
        <w:spacing w:after="0"/>
        <w:ind w:left="63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5629E" w:rsidRPr="0024690D">
        <w:rPr>
          <w:rFonts w:ascii="Times New Roman" w:hAnsi="Times New Roman" w:cs="Times New Roman"/>
          <w:sz w:val="28"/>
          <w:szCs w:val="28"/>
          <w:lang w:val="uk-UA"/>
        </w:rPr>
        <w:t>По земельному податку з юридичних осіб</w:t>
      </w:r>
      <w:r w:rsidR="008A4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4399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47BC">
        <w:rPr>
          <w:rFonts w:ascii="Times New Roman" w:hAnsi="Times New Roman" w:cs="Times New Roman"/>
          <w:sz w:val="28"/>
          <w:szCs w:val="28"/>
          <w:lang w:val="uk-UA"/>
        </w:rPr>
        <w:t>надійшло 617,0</w:t>
      </w:r>
      <w:r w:rsidR="00A44399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тис. грн.,</w:t>
      </w:r>
      <w:r w:rsidR="008D38F7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47BC">
        <w:rPr>
          <w:rFonts w:ascii="Times New Roman" w:hAnsi="Times New Roman" w:cs="Times New Roman"/>
          <w:sz w:val="28"/>
          <w:szCs w:val="28"/>
          <w:lang w:val="uk-UA"/>
        </w:rPr>
        <w:t xml:space="preserve">до річних призначень 79,1 %, </w:t>
      </w:r>
      <w:r w:rsidR="008D38F7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зменшились надходження </w:t>
      </w:r>
      <w:r w:rsidR="00AA3B77" w:rsidRPr="0024690D">
        <w:rPr>
          <w:rFonts w:ascii="Times New Roman" w:hAnsi="Times New Roman" w:cs="Times New Roman"/>
          <w:sz w:val="28"/>
          <w:szCs w:val="28"/>
          <w:lang w:val="uk-UA"/>
        </w:rPr>
        <w:t>ДП Ліси України (ДП Балтський лісгосп</w:t>
      </w:r>
      <w:r w:rsidR="00A44399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B77" w:rsidRPr="0024690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A461E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AA3B77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104,3 </w:t>
      </w:r>
      <w:proofErr w:type="spellStart"/>
      <w:r w:rsidR="00AA3B77" w:rsidRPr="0024690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A3B77" w:rsidRPr="0024690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5235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52356" w:rsidRPr="00D52356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140472" w:rsidRPr="00D52356">
        <w:rPr>
          <w:rFonts w:ascii="Times New Roman" w:hAnsi="Times New Roman" w:cs="Times New Roman"/>
          <w:sz w:val="28"/>
          <w:szCs w:val="28"/>
          <w:lang w:val="uk-UA"/>
        </w:rPr>
        <w:t xml:space="preserve"> надходження вплинуло</w:t>
      </w:r>
      <w:r w:rsidR="00D52356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застосування коефіцієнту при розрахунку нормативно грошової оцінки земельної ділянки, кадастровий номер яких невизначено. </w:t>
      </w:r>
    </w:p>
    <w:p w14:paraId="7582D6C5" w14:textId="380FF11A" w:rsidR="00A15ABC" w:rsidRPr="0024690D" w:rsidRDefault="00A56F4C" w:rsidP="008075A8">
      <w:pPr>
        <w:spacing w:after="0"/>
        <w:ind w:left="63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12550D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 орендній платі з юридичних осіб планові призначення виконано на </w:t>
      </w:r>
      <w:r w:rsidR="001C08F7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96,8% </w:t>
      </w:r>
      <w:proofErr w:type="spellStart"/>
      <w:r w:rsidR="001C08F7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 w:rsidR="006A461E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A47B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надійшло 9005,2 </w:t>
      </w:r>
      <w:proofErr w:type="spellStart"/>
      <w:r w:rsidR="008A47BC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 w:rsidR="008A47B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A461E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4690D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</w:t>
      </w:r>
      <w:r w:rsidR="0024690D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проведених земельних торгів передано  </w:t>
      </w:r>
      <w:r w:rsidR="00D52356" w:rsidRPr="00D52356">
        <w:rPr>
          <w:rFonts w:ascii="Times New Roman" w:hAnsi="Times New Roman" w:cs="Times New Roman"/>
          <w:color w:val="000000"/>
          <w:sz w:val="28"/>
          <w:szCs w:val="28"/>
          <w:lang w:val="uk-UA"/>
        </w:rPr>
        <w:t>п’ять</w:t>
      </w:r>
      <w:r w:rsidR="0024690D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земельних ділянок сільськогосподарського призначення комунальної власності у користування на умовах оренди</w:t>
      </w:r>
      <w:r w:rsidR="00D523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надійшло 665,4 </w:t>
      </w:r>
      <w:proofErr w:type="spellStart"/>
      <w:r w:rsidR="0024690D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 w:rsidR="0024690D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24690D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5ABC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рахунок боржників </w:t>
      </w:r>
      <w:r w:rsidR="00A15ABC" w:rsidRPr="0024690D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6A461E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о планових призначень</w:t>
      </w:r>
      <w:r w:rsidR="00A44399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472" w:rsidRPr="0024690D">
        <w:rPr>
          <w:rFonts w:ascii="Times New Roman" w:hAnsi="Times New Roman" w:cs="Times New Roman"/>
          <w:sz w:val="28"/>
          <w:szCs w:val="28"/>
          <w:lang w:val="uk-UA"/>
        </w:rPr>
        <w:t>не надійшло  294,7</w:t>
      </w:r>
      <w:r w:rsidR="006A461E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тис. грн</w:t>
      </w:r>
      <w:r w:rsidR="006A461E" w:rsidRPr="0024103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15ABC" w:rsidRPr="00241031">
        <w:rPr>
          <w:rFonts w:ascii="Times New Roman" w:hAnsi="Times New Roman" w:cs="Times New Roman"/>
          <w:sz w:val="28"/>
          <w:szCs w:val="28"/>
          <w:lang w:val="uk-UA"/>
        </w:rPr>
        <w:t xml:space="preserve">   (ПСП Буревісник - 220,4 </w:t>
      </w:r>
      <w:proofErr w:type="spellStart"/>
      <w:r w:rsidR="00A15ABC" w:rsidRPr="0024103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15ABC" w:rsidRPr="00241031">
        <w:rPr>
          <w:rFonts w:ascii="Times New Roman" w:hAnsi="Times New Roman" w:cs="Times New Roman"/>
          <w:sz w:val="28"/>
          <w:szCs w:val="28"/>
          <w:lang w:val="uk-UA"/>
        </w:rPr>
        <w:t xml:space="preserve">., ДП Одеський </w:t>
      </w:r>
      <w:proofErr w:type="spellStart"/>
      <w:r w:rsidR="00A15ABC" w:rsidRPr="00241031">
        <w:rPr>
          <w:rFonts w:ascii="Times New Roman" w:hAnsi="Times New Roman" w:cs="Times New Roman"/>
          <w:sz w:val="28"/>
          <w:szCs w:val="28"/>
          <w:lang w:val="uk-UA"/>
        </w:rPr>
        <w:t>облавтодор</w:t>
      </w:r>
      <w:proofErr w:type="spellEnd"/>
      <w:r w:rsidR="00A15ABC" w:rsidRPr="00241031">
        <w:rPr>
          <w:rFonts w:ascii="Times New Roman" w:hAnsi="Times New Roman" w:cs="Times New Roman"/>
          <w:sz w:val="28"/>
          <w:szCs w:val="28"/>
          <w:lang w:val="uk-UA"/>
        </w:rPr>
        <w:t xml:space="preserve"> – 155,7 </w:t>
      </w:r>
      <w:proofErr w:type="spellStart"/>
      <w:r w:rsidR="00A15ABC" w:rsidRPr="0024103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15ABC" w:rsidRPr="00241031">
        <w:rPr>
          <w:rFonts w:ascii="Times New Roman" w:hAnsi="Times New Roman" w:cs="Times New Roman"/>
          <w:sz w:val="28"/>
          <w:szCs w:val="28"/>
          <w:lang w:val="uk-UA"/>
        </w:rPr>
        <w:t xml:space="preserve">., ФГ РВВ – 367,7 </w:t>
      </w:r>
      <w:proofErr w:type="spellStart"/>
      <w:r w:rsidR="00A15ABC" w:rsidRPr="0024103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15ABC" w:rsidRPr="00241031">
        <w:rPr>
          <w:rFonts w:ascii="Times New Roman" w:hAnsi="Times New Roman" w:cs="Times New Roman"/>
          <w:sz w:val="28"/>
          <w:szCs w:val="28"/>
          <w:lang w:val="uk-UA"/>
        </w:rPr>
        <w:t>.)</w:t>
      </w:r>
      <w:r w:rsidR="00241031">
        <w:rPr>
          <w:rFonts w:ascii="Times New Roman" w:hAnsi="Times New Roman" w:cs="Times New Roman"/>
          <w:sz w:val="28"/>
          <w:szCs w:val="28"/>
          <w:lang w:val="uk-UA"/>
        </w:rPr>
        <w:t xml:space="preserve"> В 2022 році Савранська селищна рада надіслала звернення  до Любашівської окружної прокуратури щодо позову до суду про стягнення заборгованості.</w:t>
      </w:r>
      <w:r w:rsidR="00590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0B76">
        <w:rPr>
          <w:rFonts w:ascii="Times New Roman" w:hAnsi="Times New Roman" w:cs="Times New Roman"/>
          <w:sz w:val="28"/>
          <w:szCs w:val="28"/>
          <w:lang w:val="uk-UA"/>
        </w:rPr>
        <w:t xml:space="preserve">Рішенням </w:t>
      </w:r>
      <w:r w:rsidR="002410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21">
        <w:rPr>
          <w:rFonts w:ascii="Times New Roman" w:hAnsi="Times New Roman" w:cs="Times New Roman"/>
          <w:sz w:val="28"/>
          <w:szCs w:val="28"/>
          <w:lang w:val="uk-UA"/>
        </w:rPr>
        <w:t xml:space="preserve">суду </w:t>
      </w:r>
    </w:p>
    <w:p w14:paraId="627D2B5E" w14:textId="3F877CFC" w:rsidR="00A44399" w:rsidRPr="0024690D" w:rsidRDefault="00A56F4C" w:rsidP="008075A8">
      <w:pPr>
        <w:spacing w:after="0" w:line="240" w:lineRule="auto"/>
        <w:ind w:left="63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1C08F7" w:rsidRPr="0024690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4690D">
        <w:rPr>
          <w:rFonts w:ascii="Times New Roman" w:hAnsi="Times New Roman" w:cs="Times New Roman"/>
          <w:sz w:val="28"/>
          <w:szCs w:val="28"/>
          <w:lang w:val="uk-UA"/>
        </w:rPr>
        <w:t>о земельному податку</w:t>
      </w:r>
      <w:r w:rsidR="00A44399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з фізичних осіб </w:t>
      </w:r>
      <w:r w:rsidR="001C08F7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надійшло до призначень  </w:t>
      </w:r>
      <w:r w:rsidR="008A47BC">
        <w:rPr>
          <w:rFonts w:ascii="Times New Roman" w:hAnsi="Times New Roman" w:cs="Times New Roman"/>
          <w:sz w:val="28"/>
          <w:szCs w:val="28"/>
          <w:lang w:val="uk-UA"/>
        </w:rPr>
        <w:t>– 3094,5</w:t>
      </w:r>
      <w:r w:rsidR="00A44399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  <w:r w:rsidR="002469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47BC">
        <w:rPr>
          <w:rFonts w:ascii="Times New Roman" w:hAnsi="Times New Roman" w:cs="Times New Roman"/>
          <w:sz w:val="28"/>
          <w:szCs w:val="28"/>
          <w:lang w:val="uk-UA"/>
        </w:rPr>
        <w:t xml:space="preserve">до призначень 96,7 %. </w:t>
      </w:r>
      <w:r w:rsidR="0024690D">
        <w:rPr>
          <w:rFonts w:ascii="Times New Roman" w:hAnsi="Times New Roman" w:cs="Times New Roman"/>
          <w:sz w:val="28"/>
          <w:szCs w:val="28"/>
          <w:lang w:val="uk-UA"/>
        </w:rPr>
        <w:t xml:space="preserve">Протягом 2023 року </w:t>
      </w:r>
      <w:r w:rsidR="008075A8">
        <w:rPr>
          <w:rFonts w:ascii="Times New Roman" w:hAnsi="Times New Roman" w:cs="Times New Roman"/>
          <w:sz w:val="28"/>
          <w:szCs w:val="28"/>
          <w:lang w:val="uk-UA"/>
        </w:rPr>
        <w:t xml:space="preserve"> велась робота, спрямована на зменшення </w:t>
      </w:r>
      <w:r w:rsidR="008A47BC">
        <w:rPr>
          <w:rFonts w:ascii="Times New Roman" w:hAnsi="Times New Roman" w:cs="Times New Roman"/>
          <w:sz w:val="28"/>
          <w:szCs w:val="28"/>
          <w:lang w:val="uk-UA"/>
        </w:rPr>
        <w:t>заборгованості, п</w:t>
      </w:r>
      <w:r w:rsidR="008075A8">
        <w:rPr>
          <w:rFonts w:ascii="Times New Roman" w:hAnsi="Times New Roman" w:cs="Times New Roman"/>
          <w:sz w:val="28"/>
          <w:szCs w:val="28"/>
          <w:lang w:val="uk-UA"/>
        </w:rPr>
        <w:t>роводилась робота по інформуванню платників про необхідність сплати даного податку.</w:t>
      </w:r>
    </w:p>
    <w:p w14:paraId="195C049B" w14:textId="0A2F2151" w:rsidR="002755F5" w:rsidRPr="0024690D" w:rsidRDefault="008A47BC" w:rsidP="008075A8">
      <w:pPr>
        <w:spacing w:after="0"/>
        <w:ind w:left="63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075A8">
        <w:rPr>
          <w:rFonts w:ascii="Times New Roman" w:hAnsi="Times New Roman" w:cs="Times New Roman"/>
          <w:sz w:val="28"/>
          <w:szCs w:val="28"/>
          <w:lang w:val="uk-UA"/>
        </w:rPr>
        <w:t xml:space="preserve">По державному миту надійшло  3,2 </w:t>
      </w:r>
      <w:proofErr w:type="spellStart"/>
      <w:r w:rsidR="008075A8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8075A8">
        <w:rPr>
          <w:rFonts w:ascii="Times New Roman" w:hAnsi="Times New Roman" w:cs="Times New Roman"/>
          <w:sz w:val="28"/>
          <w:szCs w:val="28"/>
          <w:lang w:val="uk-UA"/>
        </w:rPr>
        <w:t>. при плані 2,5</w:t>
      </w:r>
      <w:r w:rsidR="002755F5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A2961B5" w14:textId="2BE91684" w:rsidR="002755F5" w:rsidRPr="0024690D" w:rsidRDefault="008A47BC" w:rsidP="008075A8">
      <w:pPr>
        <w:spacing w:after="0"/>
        <w:ind w:left="63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2755F5"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одаток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 на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прибуток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755F5" w:rsidRPr="0024690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</w:rPr>
        <w:t xml:space="preserve"> </w:t>
      </w:r>
      <w:r w:rsidR="002755F5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</w:rPr>
        <w:t>складають</w:t>
      </w:r>
      <w:proofErr w:type="spellEnd"/>
      <w:r w:rsidR="00A56F4C">
        <w:rPr>
          <w:rFonts w:ascii="Times New Roman" w:hAnsi="Times New Roman" w:cs="Times New Roman"/>
          <w:sz w:val="28"/>
          <w:szCs w:val="28"/>
          <w:lang w:val="uk-UA"/>
        </w:rPr>
        <w:t xml:space="preserve"> 1,4</w:t>
      </w:r>
      <w:r w:rsidR="002755F5"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4690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4690D">
        <w:rPr>
          <w:rFonts w:ascii="Times New Roman" w:hAnsi="Times New Roman" w:cs="Times New Roman"/>
          <w:sz w:val="28"/>
          <w:szCs w:val="28"/>
          <w:lang w:val="uk-UA"/>
        </w:rPr>
        <w:t>. Планові призначення виконано</w:t>
      </w:r>
      <w:r w:rsidR="00A56F4C">
        <w:rPr>
          <w:rFonts w:ascii="Times New Roman" w:hAnsi="Times New Roman" w:cs="Times New Roman"/>
          <w:sz w:val="28"/>
          <w:szCs w:val="28"/>
          <w:lang w:val="uk-UA"/>
        </w:rPr>
        <w:t xml:space="preserve"> на 59,5%</w:t>
      </w:r>
      <w:r w:rsidR="002755F5" w:rsidRPr="0024690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56F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0964DD3" w14:textId="46D3160F" w:rsidR="002755F5" w:rsidRDefault="008A47BC" w:rsidP="008075A8">
      <w:pPr>
        <w:spacing w:after="0"/>
        <w:ind w:left="63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A56F4C">
        <w:rPr>
          <w:rFonts w:ascii="Times New Roman" w:hAnsi="Times New Roman" w:cs="Times New Roman"/>
          <w:sz w:val="28"/>
          <w:szCs w:val="28"/>
          <w:lang w:val="uk-UA"/>
        </w:rPr>
        <w:t>Рентна п</w:t>
      </w:r>
      <w:r w:rsidR="002755F5" w:rsidRPr="0024690D">
        <w:rPr>
          <w:rFonts w:ascii="Times New Roman" w:hAnsi="Times New Roman" w:cs="Times New Roman"/>
          <w:sz w:val="28"/>
          <w:szCs w:val="28"/>
          <w:lang w:val="uk-UA"/>
        </w:rPr>
        <w:t>лата за лісові рес</w:t>
      </w:r>
      <w:r w:rsidR="00A56F4C">
        <w:rPr>
          <w:rFonts w:ascii="Times New Roman" w:hAnsi="Times New Roman" w:cs="Times New Roman"/>
          <w:sz w:val="28"/>
          <w:szCs w:val="28"/>
          <w:lang w:val="uk-UA"/>
        </w:rPr>
        <w:t xml:space="preserve">урси надходження складають 63,8 </w:t>
      </w:r>
      <w:proofErr w:type="spellStart"/>
      <w:r w:rsidR="00A56F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56F4C">
        <w:rPr>
          <w:rFonts w:ascii="Times New Roman" w:hAnsi="Times New Roman" w:cs="Times New Roman"/>
          <w:sz w:val="28"/>
          <w:szCs w:val="28"/>
          <w:lang w:val="uk-UA"/>
        </w:rPr>
        <w:t xml:space="preserve">. при призначеннях 14,0 </w:t>
      </w:r>
      <w:proofErr w:type="spellStart"/>
      <w:r w:rsidR="00A56F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56F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72AE803" w14:textId="100AFB24" w:rsidR="00A56F4C" w:rsidRPr="0024690D" w:rsidRDefault="008A47BC" w:rsidP="00A56F4C">
      <w:pPr>
        <w:spacing w:after="0"/>
        <w:ind w:left="63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56F4C">
        <w:rPr>
          <w:rFonts w:ascii="Times New Roman" w:hAnsi="Times New Roman" w:cs="Times New Roman"/>
          <w:sz w:val="28"/>
          <w:szCs w:val="28"/>
          <w:lang w:val="uk-UA"/>
        </w:rPr>
        <w:t>Рентна п</w:t>
      </w:r>
      <w:r w:rsidR="00A56F4C" w:rsidRPr="0024690D">
        <w:rPr>
          <w:rFonts w:ascii="Times New Roman" w:hAnsi="Times New Roman" w:cs="Times New Roman"/>
          <w:sz w:val="28"/>
          <w:szCs w:val="28"/>
          <w:lang w:val="uk-UA"/>
        </w:rPr>
        <w:t>лата за</w:t>
      </w:r>
      <w:r w:rsidR="00A56F4C">
        <w:rPr>
          <w:rFonts w:ascii="Times New Roman" w:hAnsi="Times New Roman" w:cs="Times New Roman"/>
          <w:sz w:val="28"/>
          <w:szCs w:val="28"/>
          <w:lang w:val="uk-UA"/>
        </w:rPr>
        <w:t xml:space="preserve"> користування надрами надійшло 8,2 </w:t>
      </w:r>
      <w:proofErr w:type="spellStart"/>
      <w:r w:rsidR="00A56F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56F4C">
        <w:rPr>
          <w:rFonts w:ascii="Times New Roman" w:hAnsi="Times New Roman" w:cs="Times New Roman"/>
          <w:sz w:val="28"/>
          <w:szCs w:val="28"/>
          <w:lang w:val="uk-UA"/>
        </w:rPr>
        <w:t xml:space="preserve">, при річних призначеннях 6,6 </w:t>
      </w:r>
      <w:proofErr w:type="spellStart"/>
      <w:r w:rsidR="00A56F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56F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1344EE0" w14:textId="02BA8C37" w:rsidR="002755F5" w:rsidRPr="002755F5" w:rsidRDefault="00A56F4C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A47BC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Акцизний податок  з реалізації підак</w:t>
      </w:r>
      <w:r>
        <w:rPr>
          <w:rFonts w:ascii="Times New Roman" w:hAnsi="Times New Roman" w:cs="Times New Roman"/>
          <w:sz w:val="28"/>
          <w:szCs w:val="28"/>
          <w:lang w:val="uk-UA"/>
        </w:rPr>
        <w:t>цизних товарів виконано на 116,3% надходження складають 4093,9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. при </w:t>
      </w:r>
      <w:r>
        <w:rPr>
          <w:rFonts w:ascii="Times New Roman" w:hAnsi="Times New Roman" w:cs="Times New Roman"/>
          <w:sz w:val="28"/>
          <w:szCs w:val="28"/>
          <w:lang w:val="uk-UA"/>
        </w:rPr>
        <w:t>плані 3520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,0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 План перевиконано за рахунок росту обсягів реалізації та цін на підакцизні товари.</w:t>
      </w:r>
    </w:p>
    <w:p w14:paraId="5FBA9551" w14:textId="1D9EED3F" w:rsidR="002755F5" w:rsidRDefault="00A56F4C" w:rsidP="00A56F4C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A47BC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Акцизний податок з вироблених  в Україні і ввезених н</w:t>
      </w:r>
      <w:r w:rsidR="008A47BC">
        <w:rPr>
          <w:rFonts w:ascii="Times New Roman" w:hAnsi="Times New Roman" w:cs="Times New Roman"/>
          <w:sz w:val="28"/>
          <w:szCs w:val="28"/>
          <w:lang w:val="uk-UA"/>
        </w:rPr>
        <w:t>а Україну підакцизних товарів (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пал</w:t>
      </w:r>
      <w:r w:rsidR="008A47BC">
        <w:rPr>
          <w:rFonts w:ascii="Times New Roman" w:hAnsi="Times New Roman" w:cs="Times New Roman"/>
          <w:sz w:val="28"/>
          <w:szCs w:val="28"/>
          <w:lang w:val="uk-UA"/>
        </w:rPr>
        <w:t>ьне) надходження складають 2793,9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при планових при</w:t>
      </w:r>
      <w:r>
        <w:rPr>
          <w:rFonts w:ascii="Times New Roman" w:hAnsi="Times New Roman" w:cs="Times New Roman"/>
          <w:sz w:val="28"/>
          <w:szCs w:val="28"/>
          <w:lang w:val="uk-UA"/>
        </w:rPr>
        <w:t>зна</w:t>
      </w:r>
      <w:r w:rsidR="008A47BC">
        <w:rPr>
          <w:rFonts w:ascii="Times New Roman" w:hAnsi="Times New Roman" w:cs="Times New Roman"/>
          <w:sz w:val="28"/>
          <w:szCs w:val="28"/>
          <w:lang w:val="uk-UA"/>
        </w:rPr>
        <w:t>ченнях 2280,0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755F5" w:rsidRPr="002755F5">
        <w:rPr>
          <w:rFonts w:ascii="Times New Roman" w:hAnsi="Times New Roman" w:cs="Times New Roman"/>
          <w:lang w:val="uk-UA"/>
        </w:rPr>
        <w:t xml:space="preserve"> </w:t>
      </w:r>
    </w:p>
    <w:p w14:paraId="382DAADA" w14:textId="4109E832" w:rsidR="00A56F4C" w:rsidRPr="002755F5" w:rsidRDefault="00A56F4C" w:rsidP="00A56F4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>Акцизний податок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реалізації суб’єктами господарювання роздрібної торгівлі підакцизних товарів виконано на 104,8%, надходження становлять 1299,9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8A47BC">
        <w:rPr>
          <w:rFonts w:ascii="Times New Roman" w:hAnsi="Times New Roman" w:cs="Times New Roman"/>
          <w:sz w:val="28"/>
          <w:szCs w:val="28"/>
          <w:lang w:val="uk-UA"/>
        </w:rPr>
        <w:t xml:space="preserve">. при планових призначеннях 1240,0 </w:t>
      </w:r>
      <w:proofErr w:type="spellStart"/>
      <w:r w:rsidR="008A47B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8A47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3FF2563" w14:textId="62400AB8" w:rsidR="002755F5" w:rsidRPr="002755F5" w:rsidRDefault="008A47BC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По транспортному под</w:t>
      </w:r>
      <w:r>
        <w:rPr>
          <w:rFonts w:ascii="Times New Roman" w:hAnsi="Times New Roman" w:cs="Times New Roman"/>
          <w:sz w:val="28"/>
          <w:szCs w:val="28"/>
          <w:lang w:val="uk-UA"/>
        </w:rPr>
        <w:t>атку надходження складають 56,2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., при  </w:t>
      </w:r>
      <w:r>
        <w:rPr>
          <w:rFonts w:ascii="Times New Roman" w:hAnsi="Times New Roman" w:cs="Times New Roman"/>
          <w:sz w:val="28"/>
          <w:szCs w:val="28"/>
          <w:lang w:val="uk-UA"/>
        </w:rPr>
        <w:t>бюджетному  призначені 125</w:t>
      </w:r>
      <w:r w:rsidR="00312BDB">
        <w:rPr>
          <w:rFonts w:ascii="Times New Roman" w:hAnsi="Times New Roman" w:cs="Times New Roman"/>
          <w:sz w:val="28"/>
          <w:szCs w:val="28"/>
          <w:lang w:val="uk-UA"/>
        </w:rPr>
        <w:t xml:space="preserve">,0 </w:t>
      </w:r>
      <w:proofErr w:type="spellStart"/>
      <w:r w:rsidR="00312BD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312BD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65E60">
        <w:rPr>
          <w:rFonts w:ascii="Times New Roman" w:hAnsi="Times New Roman" w:cs="Times New Roman"/>
          <w:sz w:val="28"/>
          <w:szCs w:val="28"/>
          <w:lang w:val="uk-UA"/>
        </w:rPr>
        <w:t>Так, як сплинув термін с</w:t>
      </w:r>
      <w:r w:rsidR="00185E4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65E60">
        <w:rPr>
          <w:rFonts w:ascii="Times New Roman" w:hAnsi="Times New Roman" w:cs="Times New Roman"/>
          <w:sz w:val="28"/>
          <w:szCs w:val="28"/>
          <w:lang w:val="uk-UA"/>
        </w:rPr>
        <w:t xml:space="preserve">лати по автотранспортних засобах (вік автомобіля досяг п’яти років від дати </w:t>
      </w:r>
      <w:r w:rsidR="00465E60" w:rsidRPr="00465E60">
        <w:rPr>
          <w:rFonts w:ascii="Times New Roman" w:hAnsi="Times New Roman" w:cs="Times New Roman"/>
          <w:sz w:val="28"/>
          <w:szCs w:val="28"/>
          <w:lang w:val="uk-UA"/>
        </w:rPr>
        <w:t>випуску</w:t>
      </w:r>
      <w:r w:rsidR="00465E60">
        <w:rPr>
          <w:rFonts w:ascii="Times New Roman" w:hAnsi="Times New Roman" w:cs="Times New Roman"/>
          <w:sz w:val="28"/>
          <w:szCs w:val="28"/>
          <w:lang w:val="uk-UA"/>
        </w:rPr>
        <w:t>) відбулось н</w:t>
      </w:r>
      <w:r w:rsidR="00312BDB" w:rsidRPr="00465E60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2755F5" w:rsidRPr="00465E60">
        <w:rPr>
          <w:rFonts w:ascii="Times New Roman" w:hAnsi="Times New Roman" w:cs="Times New Roman"/>
          <w:sz w:val="28"/>
          <w:szCs w:val="28"/>
          <w:lang w:val="uk-UA"/>
        </w:rPr>
        <w:t>виконання планових показників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E49FC17" w14:textId="4E54FB20" w:rsidR="002755F5" w:rsidRPr="00460F5C" w:rsidRDefault="00312BDB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2755F5" w:rsidRPr="00460F5C">
        <w:rPr>
          <w:rFonts w:ascii="Times New Roman" w:hAnsi="Times New Roman" w:cs="Times New Roman"/>
          <w:sz w:val="28"/>
          <w:szCs w:val="28"/>
          <w:lang w:val="uk-UA"/>
        </w:rPr>
        <w:t xml:space="preserve">Надходження від  орендної плати за приміщення  складають </w:t>
      </w:r>
      <w:r w:rsidR="00C34B7F" w:rsidRPr="00460F5C">
        <w:rPr>
          <w:rFonts w:ascii="Times New Roman" w:hAnsi="Times New Roman" w:cs="Times New Roman"/>
          <w:sz w:val="28"/>
          <w:szCs w:val="28"/>
          <w:lang w:val="uk-UA"/>
        </w:rPr>
        <w:t>148,3</w:t>
      </w:r>
      <w:r w:rsidR="002755F5" w:rsidRPr="00460F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460F5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460F5C">
        <w:rPr>
          <w:rFonts w:ascii="Times New Roman" w:hAnsi="Times New Roman" w:cs="Times New Roman"/>
          <w:sz w:val="28"/>
          <w:szCs w:val="28"/>
          <w:lang w:val="uk-UA"/>
        </w:rPr>
        <w:t xml:space="preserve">. при плані153,0 </w:t>
      </w:r>
      <w:proofErr w:type="spellStart"/>
      <w:r w:rsidR="002755F5" w:rsidRPr="00460F5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F709FF" w:rsidRPr="00460F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709FF">
        <w:rPr>
          <w:rFonts w:ascii="Times New Roman" w:hAnsi="Times New Roman" w:cs="Times New Roman"/>
          <w:sz w:val="28"/>
          <w:szCs w:val="28"/>
          <w:lang w:val="uk-UA"/>
        </w:rPr>
        <w:t xml:space="preserve"> Зменшення надходжень зумовлено переплатою по деяким платникам в 2022 році, згідно пп.3 п.1 Постанови  КМУ від 27.05.2022 року №634</w:t>
      </w:r>
      <w:r w:rsidR="00460F5C">
        <w:rPr>
          <w:rFonts w:ascii="Times New Roman" w:hAnsi="Times New Roman" w:cs="Times New Roman"/>
          <w:sz w:val="28"/>
          <w:szCs w:val="28"/>
          <w:lang w:val="uk-UA"/>
        </w:rPr>
        <w:t xml:space="preserve"> звільнення від сплати орендної плати на період з 24.02.2022 року по 30.05.2022 року</w:t>
      </w:r>
    </w:p>
    <w:p w14:paraId="77E39F70" w14:textId="00F2722A" w:rsidR="008D4EDF" w:rsidRDefault="00C34B7F" w:rsidP="008D4ED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Податок на</w:t>
      </w:r>
      <w:r w:rsidR="00C2526A">
        <w:rPr>
          <w:rFonts w:ascii="Times New Roman" w:hAnsi="Times New Roman" w:cs="Times New Roman"/>
          <w:sz w:val="28"/>
          <w:szCs w:val="28"/>
          <w:lang w:val="uk-UA"/>
        </w:rPr>
        <w:t xml:space="preserve"> нерухоме майно виконано на 111,5 %, надходження складають 490,2 </w:t>
      </w:r>
      <w:proofErr w:type="spellStart"/>
      <w:r w:rsidR="00C2526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C2526A">
        <w:rPr>
          <w:rFonts w:ascii="Times New Roman" w:hAnsi="Times New Roman" w:cs="Times New Roman"/>
          <w:sz w:val="28"/>
          <w:szCs w:val="28"/>
          <w:lang w:val="uk-UA"/>
        </w:rPr>
        <w:t>. при плані 439,5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8D4ED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D4EDF" w:rsidRPr="008D4E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2022 році в зв’</w:t>
      </w:r>
      <w:r w:rsidR="008D4EDF">
        <w:rPr>
          <w:rFonts w:ascii="Times New Roman" w:hAnsi="Times New Roman" w:cs="Times New Roman"/>
          <w:color w:val="000000"/>
          <w:sz w:val="28"/>
          <w:szCs w:val="28"/>
          <w:lang w:val="uk-UA"/>
        </w:rPr>
        <w:t>я</w:t>
      </w:r>
      <w:r w:rsidR="008D4EDF" w:rsidRPr="008D4E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зку з дією воєнного стану, було з запізненням </w:t>
      </w:r>
      <w:r w:rsidR="00460F5C" w:rsidRPr="008D4EDF">
        <w:rPr>
          <w:rFonts w:ascii="Times New Roman" w:hAnsi="Times New Roman" w:cs="Times New Roman"/>
          <w:color w:val="000000"/>
          <w:sz w:val="28"/>
          <w:szCs w:val="28"/>
          <w:lang w:val="uk-UA"/>
        </w:rPr>
        <w:t>сформов</w:t>
      </w:r>
      <w:r w:rsidR="00460F5C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ано</w:t>
      </w:r>
      <w:r w:rsidR="008D4E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A3E36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вручені</w:t>
      </w:r>
      <w:r w:rsidR="009D7B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податкові Повідомлен</w:t>
      </w:r>
      <w:r w:rsidR="008D4EDF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</w:t>
      </w:r>
      <w:r w:rsidR="008D4EDF" w:rsidRPr="008D4E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сплату податку на нерухоме майно, по яким  фізичні особи сплатили даний податок в 2023 році.  </w:t>
      </w:r>
    </w:p>
    <w:p w14:paraId="652BB630" w14:textId="20F5A723" w:rsidR="002755F5" w:rsidRPr="002755F5" w:rsidRDefault="008D4EDF" w:rsidP="008D4E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Плата за надання адміністр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ативних послуг виконано на 108,2% надходження складають 863,7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при плані 798,2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8F94C44" w14:textId="7029C302" w:rsidR="002755F5" w:rsidRPr="002755F5" w:rsidRDefault="008D4EDF" w:rsidP="008075A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Адміністративні штрафи та сан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кції –надходження складають 160,3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при плані 126,2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 План  виконано за рахунок надходження коштів,</w:t>
      </w:r>
      <w:r w:rsidR="002755F5"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 акту перевірки,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за порушення реалізації алкогольних напоїв  та тютюну.</w:t>
      </w:r>
    </w:p>
    <w:p w14:paraId="6EEFBE11" w14:textId="6ED9E008" w:rsidR="002755F5" w:rsidRPr="002755F5" w:rsidRDefault="008D4EDF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До спеціального фонду бюджету Савранської селищної ради без урахування між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бюджетних трансфертів за   2023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ік надійшли кошти в сумі  9489,6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тис. грн.  </w:t>
      </w:r>
      <w:r>
        <w:rPr>
          <w:rFonts w:ascii="Times New Roman" w:hAnsi="Times New Roman" w:cs="Times New Roman"/>
          <w:sz w:val="28"/>
          <w:szCs w:val="28"/>
          <w:lang w:val="uk-UA"/>
        </w:rPr>
        <w:t>при планових призначеннях 10948,6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планових призначень 86,7 %. </w:t>
      </w:r>
    </w:p>
    <w:p w14:paraId="7E5B8B8E" w14:textId="52E76F32" w:rsidR="002755F5" w:rsidRPr="002755F5" w:rsidRDefault="008D4EDF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Екологічний под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аток надходження становлять 19,1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при плані 17,5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, виконання 109,3%</w:t>
      </w:r>
    </w:p>
    <w:p w14:paraId="1905D0AE" w14:textId="021A6FA9" w:rsidR="002755F5" w:rsidRPr="002755F5" w:rsidRDefault="008D4EDF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Власні надходження б</w:t>
      </w:r>
      <w:r>
        <w:rPr>
          <w:rFonts w:ascii="Times New Roman" w:hAnsi="Times New Roman" w:cs="Times New Roman"/>
          <w:sz w:val="28"/>
          <w:szCs w:val="28"/>
          <w:lang w:val="uk-UA"/>
        </w:rPr>
        <w:t>юджетних установ надійшло 9446,1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 планових призначеннях 10931,1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, виконання 86,4%.</w:t>
      </w:r>
    </w:p>
    <w:p w14:paraId="0F237410" w14:textId="2B886F66" w:rsidR="002755F5" w:rsidRPr="002755F5" w:rsidRDefault="008D4EDF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В розрізі бюджетних установ виконання планових призначень становить:</w:t>
      </w:r>
    </w:p>
    <w:p w14:paraId="5E283CE9" w14:textId="388FCBF1" w:rsidR="002755F5" w:rsidRPr="002755F5" w:rsidRDefault="002755F5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2755F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 КЗ Центру культури дозвілля </w:t>
      </w:r>
      <w:r w:rsidR="009D7B46">
        <w:rPr>
          <w:rFonts w:ascii="Times New Roman" w:hAnsi="Times New Roman" w:cs="Times New Roman"/>
          <w:sz w:val="28"/>
          <w:szCs w:val="28"/>
          <w:lang w:val="uk-UA"/>
        </w:rPr>
        <w:t xml:space="preserve">і туризму надійшло коштів 195,4 </w:t>
      </w:r>
      <w:proofErr w:type="spellStart"/>
      <w:r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при планових призначенн</w:t>
      </w:r>
      <w:r w:rsidR="009D7B46">
        <w:rPr>
          <w:rFonts w:ascii="Times New Roman" w:hAnsi="Times New Roman" w:cs="Times New Roman"/>
          <w:sz w:val="28"/>
          <w:szCs w:val="28"/>
          <w:lang w:val="uk-UA"/>
        </w:rPr>
        <w:t>ях 214,4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  <w:r w:rsidR="00F50099">
        <w:rPr>
          <w:rFonts w:ascii="Times New Roman" w:hAnsi="Times New Roman" w:cs="Times New Roman"/>
          <w:sz w:val="28"/>
          <w:szCs w:val="28"/>
          <w:lang w:val="uk-UA"/>
        </w:rPr>
        <w:t>, виконання 91,1%.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r w:rsidR="009D7B46">
        <w:rPr>
          <w:rFonts w:ascii="Times New Roman" w:hAnsi="Times New Roman" w:cs="Times New Roman"/>
          <w:sz w:val="28"/>
          <w:szCs w:val="28"/>
          <w:lang w:val="uk-UA"/>
        </w:rPr>
        <w:t>виконання  пов’язане  з збільшенням планових призначень на залишок коштів на початок 2023 року.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31B061B" w14:textId="77777777" w:rsidR="00F50099" w:rsidRPr="002755F5" w:rsidRDefault="009D7B46" w:rsidP="00F50099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Територіальний центр соціального обслуговування  надходження становлять </w:t>
      </w:r>
      <w:r>
        <w:rPr>
          <w:rFonts w:ascii="Times New Roman" w:hAnsi="Times New Roman" w:cs="Times New Roman"/>
          <w:sz w:val="28"/>
          <w:szCs w:val="28"/>
        </w:rPr>
        <w:t>743,1</w:t>
      </w:r>
      <w:r w:rsidR="002755F5" w:rsidRPr="002755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 планових призначеннях 1243,9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50099">
        <w:rPr>
          <w:rFonts w:ascii="Times New Roman" w:hAnsi="Times New Roman" w:cs="Times New Roman"/>
          <w:sz w:val="28"/>
          <w:szCs w:val="28"/>
          <w:lang w:val="uk-UA"/>
        </w:rPr>
        <w:t>, виконання 59,7 %.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0099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 w:rsidR="00F50099">
        <w:rPr>
          <w:rFonts w:ascii="Times New Roman" w:hAnsi="Times New Roman" w:cs="Times New Roman"/>
          <w:sz w:val="28"/>
          <w:szCs w:val="28"/>
          <w:lang w:val="uk-UA"/>
        </w:rPr>
        <w:t>виконання  пов’язане  з збільшенням планових призначень на залишок коштів на початок 2023 року.</w:t>
      </w:r>
      <w:r w:rsidR="00F50099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D823C85" w14:textId="50396012" w:rsidR="002755F5" w:rsidRPr="002755F5" w:rsidRDefault="00F50099" w:rsidP="008075A8">
      <w:pPr>
        <w:spacing w:after="0"/>
        <w:jc w:val="both"/>
        <w:rPr>
          <w:rFonts w:ascii="Times New Roman" w:hAnsi="Times New Roman" w:cs="Times New Roman"/>
          <w:b/>
          <w:bCs/>
          <w:color w:val="9933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Відділ освіти </w:t>
      </w:r>
      <w:r w:rsidR="00766D5D">
        <w:rPr>
          <w:rFonts w:ascii="Times New Roman" w:hAnsi="Times New Roman" w:cs="Times New Roman"/>
          <w:sz w:val="28"/>
          <w:szCs w:val="28"/>
          <w:lang w:val="uk-UA"/>
        </w:rPr>
        <w:t>молоді та спорту надійшло 6819,3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66D5D">
        <w:rPr>
          <w:rFonts w:ascii="Times New Roman" w:hAnsi="Times New Roman" w:cs="Times New Roman"/>
          <w:sz w:val="28"/>
          <w:szCs w:val="28"/>
          <w:lang w:val="uk-UA"/>
        </w:rPr>
        <w:t>при планових призначеннях 6853,8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66D5D">
        <w:rPr>
          <w:rFonts w:ascii="Times New Roman" w:hAnsi="Times New Roman" w:cs="Times New Roman"/>
          <w:sz w:val="28"/>
          <w:szCs w:val="28"/>
          <w:lang w:val="uk-UA"/>
        </w:rPr>
        <w:t xml:space="preserve">, виконання 99,5%, </w:t>
      </w:r>
      <w:r w:rsidR="002B0267" w:rsidRPr="002B0267">
        <w:rPr>
          <w:rFonts w:ascii="Times New Roman" w:hAnsi="Times New Roman" w:cs="Times New Roman"/>
          <w:sz w:val="28"/>
          <w:szCs w:val="28"/>
          <w:lang w:val="uk-UA"/>
        </w:rPr>
        <w:t>батьківська плата за відвідування дітей в дитячих садочках у першому півріччі  наді</w:t>
      </w:r>
      <w:r w:rsidR="002B0267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2B0267" w:rsidRPr="002B0267">
        <w:rPr>
          <w:rFonts w:ascii="Times New Roman" w:hAnsi="Times New Roman" w:cs="Times New Roman"/>
          <w:sz w:val="28"/>
          <w:szCs w:val="28"/>
          <w:lang w:val="uk-UA"/>
        </w:rPr>
        <w:t>шла за д</w:t>
      </w:r>
      <w:r w:rsidR="002B0267">
        <w:rPr>
          <w:rFonts w:ascii="Times New Roman" w:hAnsi="Times New Roman" w:cs="Times New Roman"/>
          <w:sz w:val="28"/>
          <w:szCs w:val="28"/>
          <w:lang w:val="uk-UA"/>
        </w:rPr>
        <w:t>воразове харчування( перебування</w:t>
      </w:r>
      <w:r w:rsidR="002B0267" w:rsidRPr="002B0267">
        <w:rPr>
          <w:rFonts w:ascii="Times New Roman" w:hAnsi="Times New Roman" w:cs="Times New Roman"/>
          <w:sz w:val="28"/>
          <w:szCs w:val="28"/>
          <w:lang w:val="uk-UA"/>
        </w:rPr>
        <w:t xml:space="preserve"> дітей до 13,00</w:t>
      </w:r>
      <w:r w:rsidR="002B026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0858AD09" w14:textId="74C2006E" w:rsidR="002755F5" w:rsidRDefault="002B0267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Надійшли кошти в сумі 20,1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від відшкодування втрат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та лісогосподарського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>виробництва та 4,3</w:t>
      </w:r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755F5"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 - грошові стягнення за шкоду, заподіяну порушенням законодавства про охорону навколишнього середовища.</w:t>
      </w:r>
    </w:p>
    <w:p w14:paraId="51977904" w14:textId="77777777" w:rsidR="00687177" w:rsidRPr="002755F5" w:rsidRDefault="00687177" w:rsidP="008075A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5D20A9" w14:textId="77777777" w:rsidR="00687177" w:rsidRPr="00687177" w:rsidRDefault="00687177" w:rsidP="0068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Видатки селищного бюджету виконані в сумі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200963,4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тис. грн., в </w:t>
      </w: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т.ч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по загальному фонду – 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75949,5 тис. грн.,  по спеціальному фонду – 25013,9 тис. грн. </w:t>
      </w:r>
    </w:p>
    <w:p w14:paraId="37BADBEC" w14:textId="77777777" w:rsidR="00687177" w:rsidRPr="00687177" w:rsidRDefault="00687177" w:rsidP="0068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Капітальні видатки за 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рік профінансовано в сумі  15377,2 </w:t>
      </w: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тис.грн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693AF20" w14:textId="77777777" w:rsidR="00687177" w:rsidRPr="00687177" w:rsidRDefault="00687177" w:rsidP="0068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На соціально – культурну сферу спрямовано 132254,5 тис. грн. або 75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відсотків до загального обсягу видатків загального фонду.</w:t>
      </w:r>
    </w:p>
    <w:p w14:paraId="3AB20F8E" w14:textId="77777777" w:rsidR="00687177" w:rsidRPr="00687177" w:rsidRDefault="00687177" w:rsidP="0068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Найбільшу питому вагу в загальному обсязі видатків без врахування трансфертів з державного бюджету  займають видатки на освіту (80,7%), соціальний захист ( 8,1 %).</w:t>
      </w:r>
    </w:p>
    <w:p w14:paraId="5C0B8583" w14:textId="77777777" w:rsidR="00687177" w:rsidRPr="00687177" w:rsidRDefault="00687177" w:rsidP="0068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Забезпечено виплату заробітної плати, продуктів харчування, медикаментів та енергоносіїв у повному обсязі відповідно до потреби.</w:t>
      </w:r>
    </w:p>
    <w:p w14:paraId="410DE501" w14:textId="77777777" w:rsidR="00687177" w:rsidRPr="00687177" w:rsidRDefault="00687177" w:rsidP="0068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Обсяг захищених статей видатків загального фонду селищного бюджету за звітний період склав 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53340,4 тис. грн. або 87,2 % від загального обсягу видатків . На заробітну плату з нарахуваннями працівникам бюджетних установ спрямовано 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3604,2 тис. грн., на енергоносії, що споживаються бюджетними установами – 20011,4 тис. грн., медикаменти та  продукти харчування – 4175,0  </w:t>
      </w: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тис.грн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4D173F37" w14:textId="77777777" w:rsidR="00687177" w:rsidRPr="00687177" w:rsidRDefault="00687177" w:rsidP="0068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Виконання за 2023 рік по видатках на утримання органів місцевого самоврядування становить 20880,0 </w:t>
      </w: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тис.грн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., з них заробітна плата з нарахуваннями – 18038,3 </w:t>
      </w: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тис.грн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або 86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%.</w:t>
      </w:r>
    </w:p>
    <w:p w14:paraId="0FE0F162" w14:textId="77777777" w:rsidR="00687177" w:rsidRPr="00687177" w:rsidRDefault="00687177" w:rsidP="0068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Середньомісячна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заробітна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 по</w:t>
      </w:r>
      <w:proofErr w:type="gramEnd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галузях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становить:</w:t>
      </w:r>
    </w:p>
    <w:p w14:paraId="4398EC42" w14:textId="77777777" w:rsidR="00687177" w:rsidRPr="00687177" w:rsidRDefault="00687177" w:rsidP="0068717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15115</w:t>
      </w:r>
      <w:proofErr w:type="gramEnd"/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грн.</w:t>
      </w:r>
    </w:p>
    <w:p w14:paraId="5CAC6788" w14:textId="77777777" w:rsidR="00687177" w:rsidRPr="00687177" w:rsidRDefault="00687177" w:rsidP="0068717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Освіта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proofErr w:type="gramStart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 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10051</w:t>
      </w:r>
      <w:proofErr w:type="gramEnd"/>
      <w:r w:rsidRPr="006871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грн.</w:t>
      </w:r>
    </w:p>
    <w:p w14:paraId="5D0CB827" w14:textId="77777777" w:rsidR="00687177" w:rsidRPr="00687177" w:rsidRDefault="00687177" w:rsidP="0068717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соціальний захист       –   8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   грн.</w:t>
      </w:r>
    </w:p>
    <w:p w14:paraId="4C0191A6" w14:textId="77777777" w:rsidR="00687177" w:rsidRPr="00687177" w:rsidRDefault="00687177" w:rsidP="0068717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і </w:t>
      </w:r>
      <w:proofErr w:type="spellStart"/>
      <w:proofErr w:type="gramStart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мистецтво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proofErr w:type="gramEnd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9895 </w:t>
      </w:r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</w:t>
      </w:r>
    </w:p>
    <w:p w14:paraId="733D7334" w14:textId="77777777" w:rsidR="00687177" w:rsidRPr="00687177" w:rsidRDefault="00687177" w:rsidP="0068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-    </w:t>
      </w:r>
      <w:proofErr w:type="spellStart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фізична</w:t>
      </w:r>
      <w:proofErr w:type="spellEnd"/>
      <w:r w:rsidRPr="0068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        – 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7867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грн</w:t>
      </w:r>
    </w:p>
    <w:p w14:paraId="1779934B" w14:textId="77777777" w:rsidR="00687177" w:rsidRPr="00687177" w:rsidRDefault="00687177" w:rsidP="00687177">
      <w:pPr>
        <w:tabs>
          <w:tab w:val="left" w:pos="77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7177">
        <w:rPr>
          <w:rFonts w:ascii="Times New Roman" w:eastAsia="Times New Roman" w:hAnsi="Times New Roman" w:cs="Times New Roman"/>
          <w:b/>
          <w:color w:val="FFFF00"/>
          <w:sz w:val="24"/>
          <w:szCs w:val="24"/>
          <w:lang w:val="uk-UA" w:eastAsia="ru-RU"/>
        </w:rPr>
        <w:lastRenderedPageBreak/>
        <w:t xml:space="preserve">  </w:t>
      </w:r>
    </w:p>
    <w:p w14:paraId="2E147266" w14:textId="7A7BAC2D" w:rsidR="00687177" w:rsidRPr="00687177" w:rsidRDefault="00687177" w:rsidP="00687177">
      <w:pPr>
        <w:tabs>
          <w:tab w:val="left" w:pos="30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</w:t>
      </w:r>
    </w:p>
    <w:p w14:paraId="617577D6" w14:textId="4E3C1066" w:rsidR="00687177" w:rsidRPr="00687177" w:rsidRDefault="00687177" w:rsidP="0068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1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Дебіторська заборгованість по загальному фонду місцевого бюджету Савранської селищної ради станом на 1 січня  2024 року  рахується в сумі 1810,00 грн ,це дебіторська заборгованість по переплаті періодичних видань на 2024 р</w:t>
      </w:r>
      <w:r w:rsidR="00E26B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к.</w:t>
      </w:r>
    </w:p>
    <w:p w14:paraId="72834333" w14:textId="77777777" w:rsidR="00687177" w:rsidRPr="00687177" w:rsidRDefault="00687177" w:rsidP="0068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Кредиторська заборгованість по загальному фонду  так і по спеціальному фонду станом на 1 січня 2024 року не рахується .   </w:t>
      </w:r>
    </w:p>
    <w:p w14:paraId="30B60266" w14:textId="77777777" w:rsidR="00687177" w:rsidRPr="00687177" w:rsidRDefault="00687177" w:rsidP="00687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871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По спеціальному фонду дебіторська заборгованість не рахується .        </w:t>
      </w:r>
    </w:p>
    <w:p w14:paraId="4CF2E957" w14:textId="77777777" w:rsidR="002755F5" w:rsidRPr="0038140D" w:rsidRDefault="002755F5" w:rsidP="008075A8">
      <w:pPr>
        <w:spacing w:after="0"/>
        <w:jc w:val="both"/>
        <w:rPr>
          <w:rFonts w:ascii="Times New Roman" w:hAnsi="Times New Roman" w:cs="Times New Roman"/>
          <w:b/>
          <w:bCs/>
          <w:color w:val="993300"/>
          <w:sz w:val="28"/>
          <w:szCs w:val="28"/>
          <w:lang w:val="uk-UA"/>
        </w:rPr>
      </w:pPr>
    </w:p>
    <w:p w14:paraId="4CBE9458" w14:textId="464DD5FA" w:rsidR="00756EFB" w:rsidRDefault="00756EFB" w:rsidP="002C52D7">
      <w:pPr>
        <w:pStyle w:val="a3"/>
        <w:ind w:left="4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316A1C7" w14:textId="06490D7D" w:rsidR="00756EFB" w:rsidRDefault="00756EFB" w:rsidP="002C52D7">
      <w:pPr>
        <w:pStyle w:val="a3"/>
        <w:ind w:left="4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971EBF" w14:textId="77777777" w:rsidR="00756EFB" w:rsidRDefault="00756EFB" w:rsidP="002C52D7">
      <w:pPr>
        <w:pStyle w:val="a3"/>
        <w:ind w:left="4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814849" w14:textId="109A7FAD" w:rsidR="00DF27EC" w:rsidRPr="00750DCD" w:rsidRDefault="00DF27EC" w:rsidP="002C52D7">
      <w:pPr>
        <w:pStyle w:val="a3"/>
        <w:ind w:left="4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відділу                                          Алла КОЛЕБЛЮК</w:t>
      </w:r>
    </w:p>
    <w:sectPr w:rsidR="00DF27EC" w:rsidRPr="00750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-ukrain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B7F3D"/>
    <w:multiLevelType w:val="hybridMultilevel"/>
    <w:tmpl w:val="13561640"/>
    <w:lvl w:ilvl="0" w:tplc="3FE837DA">
      <w:numFmt w:val="bullet"/>
      <w:lvlText w:val="-"/>
      <w:lvlJc w:val="left"/>
      <w:pPr>
        <w:ind w:left="135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4CCF7981"/>
    <w:multiLevelType w:val="hybridMultilevel"/>
    <w:tmpl w:val="0E4856D6"/>
    <w:lvl w:ilvl="0" w:tplc="3FE837DA">
      <w:numFmt w:val="bullet"/>
      <w:lvlText w:val="-"/>
      <w:lvlJc w:val="left"/>
      <w:pPr>
        <w:ind w:left="99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5736048A"/>
    <w:multiLevelType w:val="hybridMultilevel"/>
    <w:tmpl w:val="B32051D8"/>
    <w:lvl w:ilvl="0" w:tplc="F578AE28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6C793A16"/>
    <w:multiLevelType w:val="hybridMultilevel"/>
    <w:tmpl w:val="D05C0012"/>
    <w:lvl w:ilvl="0" w:tplc="4B92819C">
      <w:numFmt w:val="bullet"/>
      <w:lvlText w:val="-"/>
      <w:lvlJc w:val="left"/>
      <w:pPr>
        <w:ind w:left="99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6D204579"/>
    <w:multiLevelType w:val="hybridMultilevel"/>
    <w:tmpl w:val="63EA974A"/>
    <w:lvl w:ilvl="0" w:tplc="161A4416">
      <w:numFmt w:val="bullet"/>
      <w:lvlText w:val="-"/>
      <w:lvlJc w:val="left"/>
      <w:pPr>
        <w:ind w:left="4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5" w15:restartNumberingAfterBreak="0">
    <w:nsid w:val="781F04F7"/>
    <w:multiLevelType w:val="hybridMultilevel"/>
    <w:tmpl w:val="BB0A1502"/>
    <w:lvl w:ilvl="0" w:tplc="3920D902">
      <w:numFmt w:val="bullet"/>
      <w:lvlText w:val="-"/>
      <w:lvlJc w:val="left"/>
      <w:pPr>
        <w:ind w:left="127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9F8"/>
    <w:rsid w:val="000107FF"/>
    <w:rsid w:val="00010F9E"/>
    <w:rsid w:val="00033EAF"/>
    <w:rsid w:val="00052501"/>
    <w:rsid w:val="000F110D"/>
    <w:rsid w:val="0012550D"/>
    <w:rsid w:val="00125C2D"/>
    <w:rsid w:val="00140472"/>
    <w:rsid w:val="00144B02"/>
    <w:rsid w:val="00147272"/>
    <w:rsid w:val="00185E49"/>
    <w:rsid w:val="001A25C2"/>
    <w:rsid w:val="001C08F7"/>
    <w:rsid w:val="001E7C2A"/>
    <w:rsid w:val="00241031"/>
    <w:rsid w:val="0024690D"/>
    <w:rsid w:val="002755F5"/>
    <w:rsid w:val="002B0267"/>
    <w:rsid w:val="002C52D7"/>
    <w:rsid w:val="002F2A4C"/>
    <w:rsid w:val="00312BDB"/>
    <w:rsid w:val="003256CE"/>
    <w:rsid w:val="00337B39"/>
    <w:rsid w:val="003509D2"/>
    <w:rsid w:val="00370B76"/>
    <w:rsid w:val="0038140D"/>
    <w:rsid w:val="003D1181"/>
    <w:rsid w:val="003F54EE"/>
    <w:rsid w:val="00460F5C"/>
    <w:rsid w:val="00465E60"/>
    <w:rsid w:val="005438E7"/>
    <w:rsid w:val="00590B95"/>
    <w:rsid w:val="005A3E36"/>
    <w:rsid w:val="005D5E12"/>
    <w:rsid w:val="00611D78"/>
    <w:rsid w:val="00687177"/>
    <w:rsid w:val="006921F2"/>
    <w:rsid w:val="006A00B7"/>
    <w:rsid w:val="006A461E"/>
    <w:rsid w:val="006B19F8"/>
    <w:rsid w:val="00732572"/>
    <w:rsid w:val="00750DCD"/>
    <w:rsid w:val="00756EFB"/>
    <w:rsid w:val="00766D5D"/>
    <w:rsid w:val="007812E4"/>
    <w:rsid w:val="007C46F0"/>
    <w:rsid w:val="007D2753"/>
    <w:rsid w:val="007E061B"/>
    <w:rsid w:val="007E43FA"/>
    <w:rsid w:val="007F40D6"/>
    <w:rsid w:val="008075A8"/>
    <w:rsid w:val="0085629E"/>
    <w:rsid w:val="008723F9"/>
    <w:rsid w:val="008A47BC"/>
    <w:rsid w:val="008D38F7"/>
    <w:rsid w:val="008D4EDF"/>
    <w:rsid w:val="00936547"/>
    <w:rsid w:val="009906A1"/>
    <w:rsid w:val="00997D88"/>
    <w:rsid w:val="009D7B46"/>
    <w:rsid w:val="00A15ABC"/>
    <w:rsid w:val="00A44399"/>
    <w:rsid w:val="00A56F4C"/>
    <w:rsid w:val="00AA3B77"/>
    <w:rsid w:val="00AC6345"/>
    <w:rsid w:val="00B827E8"/>
    <w:rsid w:val="00C2526A"/>
    <w:rsid w:val="00C34B7F"/>
    <w:rsid w:val="00C46503"/>
    <w:rsid w:val="00C7248D"/>
    <w:rsid w:val="00C8000C"/>
    <w:rsid w:val="00CC50A3"/>
    <w:rsid w:val="00D056E2"/>
    <w:rsid w:val="00D52356"/>
    <w:rsid w:val="00D65828"/>
    <w:rsid w:val="00DF27EC"/>
    <w:rsid w:val="00E02D34"/>
    <w:rsid w:val="00E208B4"/>
    <w:rsid w:val="00E26B2F"/>
    <w:rsid w:val="00E53A84"/>
    <w:rsid w:val="00E721EB"/>
    <w:rsid w:val="00F241DE"/>
    <w:rsid w:val="00F36E21"/>
    <w:rsid w:val="00F50099"/>
    <w:rsid w:val="00F7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6F38D"/>
  <w15:chartTrackingRefBased/>
  <w15:docId w15:val="{F6A1CEC1-A6B3-43A9-B9FE-9F4F3270C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753"/>
    <w:pPr>
      <w:ind w:left="720"/>
      <w:contextualSpacing/>
    </w:pPr>
  </w:style>
  <w:style w:type="character" w:styleId="a4">
    <w:name w:val="Hyperlink"/>
    <w:rsid w:val="002755F5"/>
    <w:rPr>
      <w:rFonts w:cs="Times New Roman"/>
      <w:color w:val="0000FF"/>
      <w:u w:val="single"/>
    </w:rPr>
  </w:style>
  <w:style w:type="character" w:styleId="a5">
    <w:name w:val="Emphasis"/>
    <w:basedOn w:val="a0"/>
    <w:uiPriority w:val="20"/>
    <w:qFormat/>
    <w:rsid w:val="003F54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701FB-76BA-4BE7-A980-E15FD9677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1599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dcterms:created xsi:type="dcterms:W3CDTF">2024-02-22T09:54:00Z</dcterms:created>
  <dcterms:modified xsi:type="dcterms:W3CDTF">2024-02-22T09:54:00Z</dcterms:modified>
</cp:coreProperties>
</file>