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C8160" w14:textId="77777777" w:rsidR="005C3959" w:rsidRDefault="005C3959" w:rsidP="002B0E0E">
      <w:pPr>
        <w:shd w:val="clear" w:color="auto" w:fill="FFFFFF"/>
        <w:spacing w:line="240" w:lineRule="auto"/>
        <w:ind w:right="-4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B66C61B" w14:textId="249AD469" w:rsidR="005C3959" w:rsidRDefault="005C3959" w:rsidP="002B0E0E">
      <w:pPr>
        <w:shd w:val="clear" w:color="auto" w:fill="FFFFFF"/>
        <w:spacing w:line="240" w:lineRule="auto"/>
        <w:ind w:right="-4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ПОЯСНЮВАЛЬНА  ЗАПИСКА  </w:t>
      </w:r>
    </w:p>
    <w:p w14:paraId="5C10B778" w14:textId="77777777" w:rsidR="005C3959" w:rsidRDefault="005C3959" w:rsidP="002B0E0E">
      <w:pPr>
        <w:shd w:val="clear" w:color="auto" w:fill="FFFFFF"/>
        <w:spacing w:line="240" w:lineRule="auto"/>
        <w:ind w:right="-460"/>
        <w:rPr>
          <w:rFonts w:ascii="Times New Roman" w:hAnsi="Times New Roman" w:cs="Times New Roman"/>
          <w:bCs/>
          <w:sz w:val="28"/>
          <w:szCs w:val="28"/>
        </w:rPr>
      </w:pPr>
    </w:p>
    <w:p w14:paraId="64813D7E" w14:textId="590596D6" w:rsidR="00746766" w:rsidRPr="004F7F14" w:rsidRDefault="005C3959" w:rsidP="005C3959">
      <w:pPr>
        <w:shd w:val="clear" w:color="auto" w:fill="FFFFFF"/>
        <w:spacing w:line="240" w:lineRule="auto"/>
        <w:ind w:right="85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F7F14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proofErr w:type="spellStart"/>
      <w:r w:rsidRPr="004F7F14">
        <w:rPr>
          <w:rFonts w:ascii="Times New Roman" w:hAnsi="Times New Roman" w:cs="Times New Roman"/>
          <w:bCs/>
          <w:sz w:val="28"/>
          <w:szCs w:val="28"/>
        </w:rPr>
        <w:t>проєкту</w:t>
      </w:r>
      <w:proofErr w:type="spellEnd"/>
      <w:r w:rsidRPr="004F7F14">
        <w:rPr>
          <w:rFonts w:ascii="Times New Roman" w:hAnsi="Times New Roman" w:cs="Times New Roman"/>
          <w:bCs/>
          <w:sz w:val="28"/>
          <w:szCs w:val="28"/>
        </w:rPr>
        <w:t xml:space="preserve"> рішення </w:t>
      </w:r>
      <w:r w:rsidR="00266EBB" w:rsidRPr="004F7F14">
        <w:rPr>
          <w:rFonts w:ascii="Times New Roman" w:hAnsi="Times New Roman" w:cs="Times New Roman"/>
          <w:bCs/>
          <w:sz w:val="28"/>
          <w:szCs w:val="28"/>
        </w:rPr>
        <w:t>«</w:t>
      </w:r>
      <w:r w:rsidR="004F7F14"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 xml:space="preserve">Про затвердження Порядку взаємодії виконавчих органів, структурних підрозділів, комунальних підприємств, установ, організацій, </w:t>
      </w:r>
      <w:proofErr w:type="spellStart"/>
      <w:r w:rsidR="004F7F14"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>старост</w:t>
      </w:r>
      <w:proofErr w:type="spellEnd"/>
      <w:r w:rsidR="004F7F14"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 xml:space="preserve"> </w:t>
      </w:r>
      <w:proofErr w:type="spellStart"/>
      <w:r w:rsidR="004F7F14"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>старостинських</w:t>
      </w:r>
      <w:proofErr w:type="spellEnd"/>
      <w:r w:rsidR="004F7F14"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 xml:space="preserve"> округів,  державних реєстраторів Савранської селищної ради щодо виявлення, обліку та передачі безхазяйного нерухомого  майна у власність Савранської селищної</w:t>
      </w:r>
      <w:r w:rsidR="004F7F14" w:rsidRPr="004F7F14">
        <w:rPr>
          <w:rFonts w:ascii="Times New Roman" w:eastAsia="Times New Roman" w:hAnsi="Times New Roman" w:cs="Times New Roman"/>
          <w:i/>
          <w:kern w:val="28"/>
          <w:sz w:val="28"/>
          <w:szCs w:val="28"/>
          <w:lang w:eastAsia="en-US"/>
        </w:rPr>
        <w:t xml:space="preserve"> </w:t>
      </w:r>
      <w:r w:rsidR="004F7F14"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>територіальної громади</w:t>
      </w:r>
      <w:r w:rsidR="00266EBB" w:rsidRPr="004F7F14">
        <w:rPr>
          <w:rFonts w:ascii="Times New Roman" w:hAnsi="Times New Roman" w:cs="Times New Roman"/>
          <w:bCs/>
          <w:sz w:val="28"/>
          <w:szCs w:val="28"/>
        </w:rPr>
        <w:t>»</w:t>
      </w:r>
    </w:p>
    <w:p w14:paraId="4D2108BA" w14:textId="77777777" w:rsidR="00746766" w:rsidRPr="00C057FF" w:rsidRDefault="00746766">
      <w:pPr>
        <w:shd w:val="clear" w:color="auto" w:fill="FFFFFF"/>
        <w:spacing w:before="120" w:line="240" w:lineRule="auto"/>
        <w:ind w:right="-460" w:firstLine="720"/>
        <w:jc w:val="both"/>
        <w:rPr>
          <w:b/>
          <w:sz w:val="24"/>
          <w:szCs w:val="24"/>
        </w:rPr>
      </w:pPr>
    </w:p>
    <w:p w14:paraId="05B9CCF8" w14:textId="77777777" w:rsidR="001F3713" w:rsidRDefault="005C3959" w:rsidP="004F7F1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розроблено на підставі </w:t>
      </w:r>
      <w:r w:rsidR="004F7F14"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 xml:space="preserve">статті 335 Цивільного кодексу України, статей 329 — 333 Цивільного процесуального кодексу України, </w:t>
      </w:r>
      <w:r w:rsidR="00487A67"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 xml:space="preserve">Закону України «Про державну реєстрацію речових прав на нерухоме майно та їх обтяжень», </w:t>
      </w:r>
      <w:r w:rsidR="004F7F14"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>Порядку державної реєстрації речових прав на нерухоме майно та їх обтяжень, затвердженого постановою Кабінету Міністрів України від 25.12.2015 р. № 1127 “Про державну реєстрацію речових прав на нерухоме майно та їх обтяжень</w:t>
      </w:r>
      <w:r w:rsid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 xml:space="preserve">. </w:t>
      </w:r>
      <w:r w:rsidR="004F7F14"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>”</w:t>
      </w:r>
      <w:r w:rsid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 xml:space="preserve"> </w:t>
      </w:r>
      <w:r w:rsidR="001F3713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 xml:space="preserve"> </w:t>
      </w:r>
    </w:p>
    <w:p w14:paraId="5EFBBC44" w14:textId="44168E02" w:rsidR="00BC72A5" w:rsidRDefault="004F7F14" w:rsidP="004F7F1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>Проєкт</w:t>
      </w:r>
      <w:proofErr w:type="spellEnd"/>
      <w:r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 xml:space="preserve"> рішення створено</w:t>
      </w:r>
      <w:r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 xml:space="preserve"> з метою забезпечення ефективної взаємодії виконавчих органів, структурних підрозділів, комунальних підприємств, установ, організацій, </w:t>
      </w:r>
      <w:proofErr w:type="spellStart"/>
      <w:r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>старост</w:t>
      </w:r>
      <w:proofErr w:type="spellEnd"/>
      <w:r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 xml:space="preserve"> </w:t>
      </w:r>
      <w:proofErr w:type="spellStart"/>
      <w:r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>старостинських</w:t>
      </w:r>
      <w:proofErr w:type="spellEnd"/>
      <w:r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 xml:space="preserve"> округів, державних реєстраторів Савранської селищної ради щодо виявлення, обліку та передачі безхазяйного нерухомого майна у власність Савранської селищної територіальної громади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 xml:space="preserve">. </w:t>
      </w:r>
      <w:r w:rsidR="005C3959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="005C3959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5C3959">
        <w:rPr>
          <w:rFonts w:ascii="Times New Roman" w:hAnsi="Times New Roman" w:cs="Times New Roman"/>
          <w:sz w:val="28"/>
          <w:szCs w:val="28"/>
        </w:rPr>
        <w:t xml:space="preserve"> рішення додається П</w:t>
      </w:r>
      <w:r w:rsidR="00AD2792" w:rsidRPr="00C057FF">
        <w:rPr>
          <w:rFonts w:ascii="Times New Roman" w:hAnsi="Times New Roman" w:cs="Times New Roman"/>
          <w:sz w:val="28"/>
          <w:szCs w:val="28"/>
        </w:rPr>
        <w:t>орядок</w:t>
      </w:r>
      <w:r w:rsidR="005C3959">
        <w:rPr>
          <w:rFonts w:ascii="Times New Roman" w:hAnsi="Times New Roman" w:cs="Times New Roman"/>
          <w:sz w:val="28"/>
          <w:szCs w:val="28"/>
        </w:rPr>
        <w:t xml:space="preserve">, в якому </w:t>
      </w:r>
      <w:r w:rsidR="00D81418">
        <w:rPr>
          <w:rFonts w:ascii="Times New Roman" w:hAnsi="Times New Roman" w:cs="Times New Roman"/>
          <w:sz w:val="28"/>
          <w:szCs w:val="28"/>
        </w:rPr>
        <w:t>визначено</w:t>
      </w:r>
      <w:r w:rsidR="005C3959">
        <w:rPr>
          <w:rFonts w:ascii="Times New Roman" w:hAnsi="Times New Roman" w:cs="Times New Roman"/>
          <w:sz w:val="28"/>
          <w:szCs w:val="28"/>
        </w:rPr>
        <w:t xml:space="preserve"> завдання та розподіл обов’язків</w:t>
      </w:r>
      <w:r w:rsidR="003C6D2D">
        <w:rPr>
          <w:rFonts w:ascii="Times New Roman" w:hAnsi="Times New Roman" w:cs="Times New Roman"/>
          <w:sz w:val="28"/>
          <w:szCs w:val="28"/>
        </w:rPr>
        <w:t xml:space="preserve"> у </w:t>
      </w:r>
      <w:r w:rsidR="000262DD">
        <w:rPr>
          <w:rFonts w:ascii="Times New Roman" w:hAnsi="Times New Roman" w:cs="Times New Roman"/>
          <w:sz w:val="28"/>
          <w:szCs w:val="28"/>
        </w:rPr>
        <w:t>процесі</w:t>
      </w:r>
      <w:r w:rsidR="00D814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виявлення, обліку та передачі безхазяйного нерухомого</w:t>
      </w:r>
      <w:r w:rsidR="00BB0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майна у власність громади. </w:t>
      </w:r>
      <w:r w:rsidR="00BB09D3">
        <w:rPr>
          <w:rFonts w:ascii="Times New Roman" w:hAnsi="Times New Roman" w:cs="Times New Roman"/>
          <w:sz w:val="28"/>
          <w:szCs w:val="28"/>
        </w:rPr>
        <w:t>Крім Порядку</w:t>
      </w:r>
      <w:r w:rsidR="00266EBB">
        <w:rPr>
          <w:rFonts w:ascii="Times New Roman" w:hAnsi="Times New Roman" w:cs="Times New Roman"/>
          <w:sz w:val="28"/>
          <w:szCs w:val="28"/>
        </w:rPr>
        <w:t>,</w:t>
      </w:r>
      <w:r w:rsidR="00BB09D3">
        <w:rPr>
          <w:rFonts w:ascii="Times New Roman" w:hAnsi="Times New Roman" w:cs="Times New Roman"/>
          <w:sz w:val="28"/>
          <w:szCs w:val="28"/>
        </w:rPr>
        <w:t xml:space="preserve"> до затвердження</w:t>
      </w:r>
      <w:r w:rsidR="00266EBB">
        <w:rPr>
          <w:rFonts w:ascii="Times New Roman" w:hAnsi="Times New Roman" w:cs="Times New Roman"/>
          <w:sz w:val="28"/>
          <w:szCs w:val="28"/>
        </w:rPr>
        <w:t>,</w:t>
      </w:r>
      <w:r w:rsidR="00BB09D3">
        <w:rPr>
          <w:rFonts w:ascii="Times New Roman" w:hAnsi="Times New Roman" w:cs="Times New Roman"/>
          <w:sz w:val="28"/>
          <w:szCs w:val="28"/>
        </w:rPr>
        <w:t xml:space="preserve"> пропонується</w:t>
      </w:r>
      <w:r w:rsidR="002B0E0E" w:rsidRPr="00C057FF">
        <w:rPr>
          <w:rFonts w:ascii="Times New Roman" w:hAnsi="Times New Roman" w:cs="Times New Roman"/>
          <w:sz w:val="28"/>
          <w:szCs w:val="28"/>
        </w:rPr>
        <w:t xml:space="preserve"> </w:t>
      </w:r>
      <w:r w:rsidR="00AD2792" w:rsidRPr="00C057FF">
        <w:rPr>
          <w:rFonts w:ascii="Times New Roman" w:hAnsi="Times New Roman" w:cs="Times New Roman"/>
          <w:sz w:val="28"/>
          <w:szCs w:val="28"/>
        </w:rPr>
        <w:t>Перелік</w:t>
      </w:r>
      <w:r w:rsidR="003C6D2D">
        <w:rPr>
          <w:rFonts w:ascii="Times New Roman" w:hAnsi="Times New Roman" w:cs="Times New Roman"/>
          <w:sz w:val="28"/>
          <w:szCs w:val="28"/>
        </w:rPr>
        <w:t xml:space="preserve"> </w:t>
      </w:r>
      <w:r w:rsidR="00AD2792" w:rsidRPr="00C057FF">
        <w:rPr>
          <w:rFonts w:ascii="Times New Roman" w:hAnsi="Times New Roman" w:cs="Times New Roman"/>
          <w:sz w:val="28"/>
          <w:szCs w:val="28"/>
        </w:rPr>
        <w:t>виконавчих органів,</w:t>
      </w:r>
      <w:r w:rsidR="000363B8" w:rsidRPr="00C057FF">
        <w:rPr>
          <w:rFonts w:ascii="Times New Roman" w:hAnsi="Times New Roman" w:cs="Times New Roman"/>
          <w:sz w:val="28"/>
          <w:szCs w:val="28"/>
        </w:rPr>
        <w:t xml:space="preserve"> </w:t>
      </w:r>
      <w:r w:rsidR="00AD2792" w:rsidRPr="00C057FF">
        <w:rPr>
          <w:rFonts w:ascii="Times New Roman" w:hAnsi="Times New Roman" w:cs="Times New Roman"/>
          <w:sz w:val="28"/>
          <w:szCs w:val="28"/>
        </w:rPr>
        <w:t xml:space="preserve">структурних підрозділів, комунальних підприємств, установ та організацій, </w:t>
      </w:r>
      <w:proofErr w:type="spellStart"/>
      <w:r w:rsidR="00AD2792" w:rsidRPr="00C057FF">
        <w:rPr>
          <w:rFonts w:ascii="Times New Roman" w:hAnsi="Times New Roman" w:cs="Times New Roman"/>
          <w:sz w:val="28"/>
          <w:szCs w:val="28"/>
        </w:rPr>
        <w:t>старост</w:t>
      </w:r>
      <w:proofErr w:type="spellEnd"/>
      <w:r w:rsidR="0034513A" w:rsidRPr="00C05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13A" w:rsidRPr="00C057FF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="0034513A" w:rsidRPr="00C057FF">
        <w:rPr>
          <w:rFonts w:ascii="Times New Roman" w:hAnsi="Times New Roman" w:cs="Times New Roman"/>
          <w:sz w:val="28"/>
          <w:szCs w:val="28"/>
        </w:rPr>
        <w:t xml:space="preserve"> округів</w:t>
      </w:r>
      <w:r w:rsidR="000363B8" w:rsidRPr="00C057F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державних реєстраторів </w:t>
      </w:r>
      <w:r w:rsidR="0034513A" w:rsidRPr="00C057FF">
        <w:rPr>
          <w:rFonts w:ascii="Times New Roman" w:hAnsi="Times New Roman" w:cs="Times New Roman"/>
          <w:sz w:val="28"/>
          <w:szCs w:val="28"/>
        </w:rPr>
        <w:t>Савранської селищної ради</w:t>
      </w:r>
      <w:r w:rsidR="00AD2792" w:rsidRPr="00C057FF">
        <w:rPr>
          <w:rFonts w:ascii="Times New Roman" w:hAnsi="Times New Roman" w:cs="Times New Roman"/>
          <w:sz w:val="28"/>
          <w:szCs w:val="28"/>
        </w:rPr>
        <w:t xml:space="preserve">, які взаємодіють між собою </w:t>
      </w:r>
      <w:r w:rsidR="008C3568">
        <w:rPr>
          <w:rFonts w:ascii="Times New Roman" w:hAnsi="Times New Roman" w:cs="Times New Roman"/>
          <w:sz w:val="28"/>
          <w:szCs w:val="28"/>
        </w:rPr>
        <w:t>щодо</w:t>
      </w:r>
      <w:r w:rsidR="00AD2792" w:rsidRPr="00C057FF">
        <w:rPr>
          <w:rFonts w:ascii="Times New Roman" w:hAnsi="Times New Roman" w:cs="Times New Roman"/>
          <w:sz w:val="28"/>
          <w:szCs w:val="28"/>
        </w:rPr>
        <w:t xml:space="preserve"> </w:t>
      </w:r>
      <w:r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>виявлення, обліку та передачі безхазяйного нерухомого  майна у власність селищної</w:t>
      </w:r>
      <w:r w:rsidR="001F3713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 xml:space="preserve"> територіальної</w:t>
      </w:r>
      <w:r w:rsidRPr="004F7F14">
        <w:rPr>
          <w:rFonts w:ascii="Times New Roman" w:eastAsia="Times New Roman" w:hAnsi="Times New Roman" w:cs="Times New Roman"/>
          <w:i/>
          <w:kern w:val="28"/>
          <w:sz w:val="28"/>
          <w:szCs w:val="28"/>
          <w:lang w:eastAsia="en-US"/>
        </w:rPr>
        <w:t xml:space="preserve"> </w:t>
      </w:r>
      <w:r w:rsidRPr="004F7F14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>громади</w:t>
      </w:r>
      <w:r w:rsidR="008C3568">
        <w:rPr>
          <w:rFonts w:ascii="Times New Roman" w:eastAsia="Times New Roman" w:hAnsi="Times New Roman" w:cs="Times New Roman"/>
          <w:kern w:val="28"/>
          <w:sz w:val="28"/>
          <w:szCs w:val="28"/>
          <w:lang w:eastAsia="en-US"/>
        </w:rPr>
        <w:t>.</w:t>
      </w:r>
    </w:p>
    <w:p w14:paraId="11322FDE" w14:textId="2E0BE3D8" w:rsidR="00BC72A5" w:rsidRDefault="00F20B5F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30B42E" w14:textId="15EA731E" w:rsidR="00F20B5F" w:rsidRDefault="00F20B5F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5E4EFE2B" w14:textId="77777777" w:rsidR="00F20B5F" w:rsidRDefault="00F20B5F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93BD79" w14:textId="40BA2557" w:rsidR="00F20B5F" w:rsidRDefault="00F20B5F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відділу правового </w:t>
      </w:r>
    </w:p>
    <w:p w14:paraId="59CFF546" w14:textId="594688ED" w:rsidR="00BC72A5" w:rsidRDefault="00F20B5F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та кадрової роботи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Олена ТЕРПАН</w:t>
      </w:r>
      <w:r w:rsidR="00EC3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FFD0BB" w14:textId="4DF7473C" w:rsidR="00EC36ED" w:rsidRDefault="00EC36ED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74B692" w14:textId="728CCD7C" w:rsidR="00EC36ED" w:rsidRDefault="00EC36ED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B41512" w14:textId="6240D93B" w:rsidR="00EC36ED" w:rsidRDefault="00EC36ED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6CDA9FBF" w14:textId="24484AD0" w:rsidR="00EC36ED" w:rsidRDefault="00EC36ED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46ACFA7" w14:textId="10ACF517" w:rsidR="00EC36ED" w:rsidRDefault="00EC36ED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432867" w14:textId="51EAFAD1" w:rsidR="00EC36ED" w:rsidRDefault="00EC36ED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EA4FA05" w14:textId="294BA64B" w:rsidR="00EC36ED" w:rsidRDefault="00EC36ED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5637476A" w14:textId="31725C72" w:rsidR="00EC36ED" w:rsidRDefault="00EC36ED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1B28A3B" w14:textId="12AEB1EA" w:rsidR="00EC36ED" w:rsidRDefault="00EC36ED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41A1743B" w14:textId="69F4D44C" w:rsidR="00EC36ED" w:rsidRDefault="00EC36ED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838A63" w14:textId="52EC1ED2" w:rsidR="00EC36ED" w:rsidRDefault="00EC36ED" w:rsidP="00EC36E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05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</w:t>
      </w:r>
      <w:proofErr w:type="spellEnd"/>
      <w:r w:rsidRPr="004405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Головний спеціаліст відділу </w:t>
      </w:r>
    </w:p>
    <w:p w14:paraId="1960EDAE" w14:textId="77777777" w:rsidR="00EC36ED" w:rsidRDefault="00EC36ED" w:rsidP="00EC36E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правового забезпечення та </w:t>
      </w:r>
    </w:p>
    <w:p w14:paraId="31301933" w14:textId="66B6371D" w:rsidR="00EC36ED" w:rsidRDefault="00EC36ED" w:rsidP="00702D3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кадрової роботи </w:t>
      </w:r>
      <w:r w:rsidRPr="00440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Кравець О.</w:t>
      </w:r>
    </w:p>
    <w:sectPr w:rsidR="00EC36ED" w:rsidSect="000363B8">
      <w:headerReference w:type="default" r:id="rId11"/>
      <w:pgSz w:w="11909" w:h="16834"/>
      <w:pgMar w:top="28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39ED7" w14:textId="77777777" w:rsidR="00E75945" w:rsidRDefault="00E75945">
      <w:pPr>
        <w:spacing w:line="240" w:lineRule="auto"/>
      </w:pPr>
      <w:r>
        <w:separator/>
      </w:r>
    </w:p>
  </w:endnote>
  <w:endnote w:type="continuationSeparator" w:id="0">
    <w:p w14:paraId="0BAB39A9" w14:textId="77777777" w:rsidR="00E75945" w:rsidRDefault="00E75945">
      <w:pPr>
        <w:spacing w:line="240" w:lineRule="auto"/>
      </w:pPr>
      <w:r>
        <w:continuationSeparator/>
      </w:r>
    </w:p>
  </w:endnote>
  <w:endnote w:type="continuationNotice" w:id="1">
    <w:p w14:paraId="3492A0C4" w14:textId="77777777" w:rsidR="00E75945" w:rsidRDefault="00E7594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5593D" w14:textId="77777777" w:rsidR="00E75945" w:rsidRDefault="00E75945">
      <w:pPr>
        <w:spacing w:line="240" w:lineRule="auto"/>
      </w:pPr>
      <w:r>
        <w:separator/>
      </w:r>
    </w:p>
  </w:footnote>
  <w:footnote w:type="continuationSeparator" w:id="0">
    <w:p w14:paraId="668544A1" w14:textId="77777777" w:rsidR="00E75945" w:rsidRDefault="00E75945">
      <w:pPr>
        <w:spacing w:line="240" w:lineRule="auto"/>
      </w:pPr>
      <w:r>
        <w:continuationSeparator/>
      </w:r>
    </w:p>
  </w:footnote>
  <w:footnote w:type="continuationNotice" w:id="1">
    <w:p w14:paraId="14E4A263" w14:textId="77777777" w:rsidR="00E75945" w:rsidRDefault="00E7594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ACA9F" w14:textId="07C84A88" w:rsidR="00746766" w:rsidRDefault="0074676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line="240" w:lineRule="auto"/>
      <w:jc w:val="center"/>
      <w:rPr>
        <w:color w:val="000000"/>
      </w:rPr>
    </w:pPr>
  </w:p>
  <w:p w14:paraId="51BBFC45" w14:textId="77777777" w:rsidR="00746766" w:rsidRDefault="0074676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381A"/>
    <w:multiLevelType w:val="hybridMultilevel"/>
    <w:tmpl w:val="8580056E"/>
    <w:lvl w:ilvl="0" w:tplc="53AC4132">
      <w:start w:val="1"/>
      <w:numFmt w:val="decimal"/>
      <w:lvlText w:val="%1."/>
      <w:lvlJc w:val="left"/>
      <w:pPr>
        <w:ind w:left="121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14721C02"/>
    <w:multiLevelType w:val="multilevel"/>
    <w:tmpl w:val="3BA22838"/>
    <w:lvl w:ilvl="0">
      <w:start w:val="1"/>
      <w:numFmt w:val="decimal"/>
      <w:lvlText w:val="%1."/>
      <w:lvlJc w:val="left"/>
      <w:pPr>
        <w:ind w:left="1440" w:hanging="589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25823627"/>
    <w:multiLevelType w:val="multilevel"/>
    <w:tmpl w:val="44C80AC2"/>
    <w:lvl w:ilvl="0">
      <w:start w:val="1"/>
      <w:numFmt w:val="decimal"/>
      <w:lvlText w:val="%1)"/>
      <w:lvlJc w:val="left"/>
      <w:pPr>
        <w:ind w:left="720" w:hanging="360"/>
      </w:pPr>
      <w:rPr>
        <w:sz w:val="26"/>
        <w:szCs w:val="26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A1B5D59"/>
    <w:multiLevelType w:val="hybridMultilevel"/>
    <w:tmpl w:val="98F0C4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96ED1"/>
    <w:multiLevelType w:val="hybridMultilevel"/>
    <w:tmpl w:val="FE3CE2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F0079"/>
    <w:multiLevelType w:val="hybridMultilevel"/>
    <w:tmpl w:val="A1FA6938"/>
    <w:lvl w:ilvl="0" w:tplc="0422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1C340A"/>
    <w:multiLevelType w:val="multilevel"/>
    <w:tmpl w:val="9238FAFA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9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  <w:color w:val="auto"/>
      </w:rPr>
    </w:lvl>
  </w:abstractNum>
  <w:abstractNum w:abstractNumId="7" w15:restartNumberingAfterBreak="0">
    <w:nsid w:val="69342E82"/>
    <w:multiLevelType w:val="hybridMultilevel"/>
    <w:tmpl w:val="8B9A16E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D00CB9"/>
    <w:multiLevelType w:val="multilevel"/>
    <w:tmpl w:val="6AAE023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 w15:restartNumberingAfterBreak="0">
    <w:nsid w:val="79F15DCA"/>
    <w:multiLevelType w:val="hybridMultilevel"/>
    <w:tmpl w:val="9DB4AA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4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66"/>
    <w:rsid w:val="000262DD"/>
    <w:rsid w:val="000363B8"/>
    <w:rsid w:val="00073B90"/>
    <w:rsid w:val="00080074"/>
    <w:rsid w:val="000E6C70"/>
    <w:rsid w:val="0014495B"/>
    <w:rsid w:val="0016583B"/>
    <w:rsid w:val="001C7AF2"/>
    <w:rsid w:val="001E2BA9"/>
    <w:rsid w:val="001F3713"/>
    <w:rsid w:val="002027C5"/>
    <w:rsid w:val="00266EBB"/>
    <w:rsid w:val="00272D83"/>
    <w:rsid w:val="002A5627"/>
    <w:rsid w:val="002B0E0E"/>
    <w:rsid w:val="0034513A"/>
    <w:rsid w:val="0036315F"/>
    <w:rsid w:val="003A71A5"/>
    <w:rsid w:val="003B0CA9"/>
    <w:rsid w:val="003C6D2D"/>
    <w:rsid w:val="003E21A9"/>
    <w:rsid w:val="00487A67"/>
    <w:rsid w:val="004B3D92"/>
    <w:rsid w:val="004F7F14"/>
    <w:rsid w:val="0050021A"/>
    <w:rsid w:val="005968C0"/>
    <w:rsid w:val="005A63C6"/>
    <w:rsid w:val="005C3959"/>
    <w:rsid w:val="005E316F"/>
    <w:rsid w:val="005E344E"/>
    <w:rsid w:val="005E4718"/>
    <w:rsid w:val="00625BFB"/>
    <w:rsid w:val="006F07DD"/>
    <w:rsid w:val="00702D3F"/>
    <w:rsid w:val="00746766"/>
    <w:rsid w:val="007C4834"/>
    <w:rsid w:val="008B030D"/>
    <w:rsid w:val="008C3568"/>
    <w:rsid w:val="008D0ADB"/>
    <w:rsid w:val="00950F5F"/>
    <w:rsid w:val="00984D0B"/>
    <w:rsid w:val="00996F3F"/>
    <w:rsid w:val="00A35BE8"/>
    <w:rsid w:val="00A5284D"/>
    <w:rsid w:val="00A935A4"/>
    <w:rsid w:val="00AC2FE0"/>
    <w:rsid w:val="00AD2792"/>
    <w:rsid w:val="00B058EF"/>
    <w:rsid w:val="00B10BFA"/>
    <w:rsid w:val="00B30C9F"/>
    <w:rsid w:val="00B66DFF"/>
    <w:rsid w:val="00B82830"/>
    <w:rsid w:val="00BB09D3"/>
    <w:rsid w:val="00BC72A5"/>
    <w:rsid w:val="00C057FF"/>
    <w:rsid w:val="00C535E5"/>
    <w:rsid w:val="00CC729C"/>
    <w:rsid w:val="00CF45DF"/>
    <w:rsid w:val="00D16D0C"/>
    <w:rsid w:val="00D81418"/>
    <w:rsid w:val="00D86962"/>
    <w:rsid w:val="00DE47F5"/>
    <w:rsid w:val="00E619DC"/>
    <w:rsid w:val="00E75945"/>
    <w:rsid w:val="00EC36ED"/>
    <w:rsid w:val="00F20B5F"/>
    <w:rsid w:val="00F51DA4"/>
    <w:rsid w:val="00F53DEC"/>
    <w:rsid w:val="00F74FAB"/>
    <w:rsid w:val="00FA3A23"/>
    <w:rsid w:val="00FB0401"/>
    <w:rsid w:val="00FB6B23"/>
    <w:rsid w:val="00FE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52B6B"/>
  <w15:docId w15:val="{FA8267AA-4B3A-443E-9C0D-A7E014C7B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header"/>
    <w:basedOn w:val="a"/>
    <w:link w:val="a8"/>
    <w:uiPriority w:val="99"/>
    <w:unhideWhenUsed/>
    <w:rsid w:val="00012EE4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2EE4"/>
  </w:style>
  <w:style w:type="paragraph" w:styleId="a9">
    <w:name w:val="footer"/>
    <w:basedOn w:val="a"/>
    <w:link w:val="aa"/>
    <w:uiPriority w:val="99"/>
    <w:unhideWhenUsed/>
    <w:rsid w:val="00012EE4"/>
    <w:pPr>
      <w:tabs>
        <w:tab w:val="center" w:pos="4819"/>
        <w:tab w:val="right" w:pos="9639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2EE4"/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">
    <w:name w:val="List Paragraph"/>
    <w:basedOn w:val="a"/>
    <w:uiPriority w:val="34"/>
    <w:qFormat/>
    <w:rsid w:val="00DE4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4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56RXseUgt7hjUoKcd+HLVVfXZA==">CgMxLjAyCGguZ2pkZ3hzOAByITEwRFZrNzIzbl9JQnp1NHZZZUFaRC05WTlGekVRbVNMZQ==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b8314e-b01c-4b1c-8975-1a719bf2dd30" xsi:nil="true"/>
    <lcf76f155ced4ddcb4097134ff3c332f xmlns="57cc6d9f-7fd8-455e-9f91-46b852fe793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16B43B00DFF643B26A7376B770BAB1" ma:contentTypeVersion="17" ma:contentTypeDescription="Create a new document." ma:contentTypeScope="" ma:versionID="7198ab0351c79dca205b1e540dec8ed4">
  <xsd:schema xmlns:xsd="http://www.w3.org/2001/XMLSchema" xmlns:xs="http://www.w3.org/2001/XMLSchema" xmlns:p="http://schemas.microsoft.com/office/2006/metadata/properties" xmlns:ns2="c2b8314e-b01c-4b1c-8975-1a719bf2dd30" xmlns:ns3="57cc6d9f-7fd8-455e-9f91-46b852fe7930" targetNamespace="http://schemas.microsoft.com/office/2006/metadata/properties" ma:root="true" ma:fieldsID="2bff5f9945523a4930544bd185ea0620" ns2:_="" ns3:_="">
    <xsd:import namespace="c2b8314e-b01c-4b1c-8975-1a719bf2dd30"/>
    <xsd:import namespace="57cc6d9f-7fd8-455e-9f91-46b852fe79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8314e-b01c-4b1c-8975-1a719bf2dd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bfc31e-5925-477b-a9ce-d3c1d4e37d99}" ma:internalName="TaxCatchAll" ma:showField="CatchAllData" ma:web="c2b8314e-b01c-4b1c-8975-1a719bf2dd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6d9f-7fd8-455e-9f91-46b852fe79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e14187-b4d4-4fc9-8c4a-20dc3ccbf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045A649-B267-4901-9D3F-98BA9B1050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C40A6-2C9C-4156-BC7D-4E2C58073567}">
  <ds:schemaRefs>
    <ds:schemaRef ds:uri="http://schemas.microsoft.com/office/2006/metadata/properties"/>
    <ds:schemaRef ds:uri="http://schemas.microsoft.com/office/infopath/2007/PartnerControls"/>
    <ds:schemaRef ds:uri="c2b8314e-b01c-4b1c-8975-1a719bf2dd30"/>
    <ds:schemaRef ds:uri="57cc6d9f-7fd8-455e-9f91-46b852fe7930"/>
  </ds:schemaRefs>
</ds:datastoreItem>
</file>

<file path=customXml/itemProps4.xml><?xml version="1.0" encoding="utf-8"?>
<ds:datastoreItem xmlns:ds="http://schemas.openxmlformats.org/officeDocument/2006/customXml" ds:itemID="{8ED7ACA6-A2CF-4360-8BB5-A429D4581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b8314e-b01c-4b1c-8975-1a719bf2dd30"/>
    <ds:schemaRef ds:uri="57cc6d9f-7fd8-455e-9f91-46b852fe79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OLEKSII</dc:creator>
  <cp:keywords/>
  <cp:lastModifiedBy>Professional</cp:lastModifiedBy>
  <cp:revision>2</cp:revision>
  <cp:lastPrinted>2024-02-23T12:32:00Z</cp:lastPrinted>
  <dcterms:created xsi:type="dcterms:W3CDTF">2024-02-23T14:15:00Z</dcterms:created>
  <dcterms:modified xsi:type="dcterms:W3CDTF">2024-02-23T14:15:00Z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0x0101000416B43B00DFF643B26A7376B770BAB1</vt:lpwstr>
  </property>
  <property fmtid="{D5CDD505-2E9C-101B-9397-08002B2CF9AE}" pid="3" name="MediaServiceImageTags">
    <vt:lpwstr/>
  </property>
</Properties>
</file>